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5801" w14:textId="2ADF6845" w:rsidR="0089036D" w:rsidRPr="000D4A25" w:rsidRDefault="000D4A25" w:rsidP="0089036D">
      <w:pPr>
        <w:keepNext/>
        <w:keepLines/>
        <w:outlineLvl w:val="0"/>
        <w:rPr>
          <w:rStyle w:val="Heading1ASSP"/>
        </w:rPr>
      </w:pPr>
      <w:r>
        <w:rPr>
          <w:rStyle w:val="Heading1ASSP"/>
        </w:rPr>
        <w:t>2021 Society Elections – Board Competencies</w:t>
      </w:r>
    </w:p>
    <w:p w14:paraId="6CDC10C7" w14:textId="6A68F9ED" w:rsidR="0089036D" w:rsidRDefault="0089036D" w:rsidP="0089036D">
      <w:pPr>
        <w:spacing w:after="120"/>
        <w:rPr>
          <w:rFonts w:ascii="Myriad Pro" w:eastAsia="Calibri" w:hAnsi="Myriad Pro" w:cs="Times New Roman (Body CS)"/>
          <w:color w:val="000000"/>
          <w:sz w:val="22"/>
          <w:szCs w:val="22"/>
        </w:rPr>
      </w:pPr>
    </w:p>
    <w:p w14:paraId="5848F2DB" w14:textId="01999BC5" w:rsidR="00303A7D" w:rsidRDefault="00303A7D" w:rsidP="0089036D">
      <w:pPr>
        <w:spacing w:after="120"/>
        <w:rPr>
          <w:rFonts w:ascii="Myriad Pro" w:eastAsia="Calibri" w:hAnsi="Myriad Pro" w:cs="Times New Roman (Body CS)"/>
          <w:color w:val="000000"/>
          <w:sz w:val="22"/>
          <w:szCs w:val="22"/>
        </w:rPr>
      </w:pPr>
    </w:p>
    <w:p w14:paraId="7CF990BB" w14:textId="3CEA8522" w:rsidR="00303A7D" w:rsidRPr="00303A7D" w:rsidRDefault="00303A7D" w:rsidP="0089036D">
      <w:pPr>
        <w:spacing w:after="120"/>
        <w:rPr>
          <w:rFonts w:eastAsia="Calibri" w:cs="Arial"/>
          <w:color w:val="000000"/>
          <w:sz w:val="22"/>
          <w:szCs w:val="22"/>
        </w:rPr>
      </w:pPr>
      <w:r w:rsidRPr="00303A7D">
        <w:rPr>
          <w:rFonts w:eastAsia="Calibri" w:cs="Arial"/>
          <w:color w:val="000000"/>
          <w:sz w:val="22"/>
          <w:szCs w:val="22"/>
        </w:rPr>
        <w:t xml:space="preserve">Dear Nominations and Elections Committee, </w:t>
      </w:r>
    </w:p>
    <w:p w14:paraId="31CF5DC9" w14:textId="77777777" w:rsidR="0089036D" w:rsidRPr="00494FA0" w:rsidRDefault="0089036D" w:rsidP="0089036D">
      <w:pPr>
        <w:spacing w:before="100" w:beforeAutospacing="1" w:after="100" w:afterAutospacing="1"/>
        <w:jc w:val="both"/>
        <w:rPr>
          <w:rFonts w:eastAsia="Calibri" w:cs="Arial"/>
          <w:color w:val="000000"/>
          <w:sz w:val="22"/>
          <w:szCs w:val="22"/>
        </w:rPr>
      </w:pPr>
      <w:r w:rsidRPr="00494FA0">
        <w:rPr>
          <w:rFonts w:eastAsia="Calibri" w:cs="Arial"/>
          <w:color w:val="000000"/>
          <w:sz w:val="22"/>
          <w:szCs w:val="22"/>
        </w:rPr>
        <w:t xml:space="preserve">ASSP seeks to develop a Board of Directors that has a strategic combination of demonstrated knowledge skills &amp; abilities, personal attributes, expertise and competencies that ensure that our Board, has a diversity of experiences, perspectives, information, connections, and skills to carry out the mission of the organization.  </w:t>
      </w:r>
    </w:p>
    <w:p w14:paraId="7B4DC0E2" w14:textId="77777777" w:rsidR="0089036D" w:rsidRPr="00494FA0" w:rsidRDefault="0089036D" w:rsidP="0089036D">
      <w:pPr>
        <w:spacing w:before="100" w:beforeAutospacing="1" w:after="100" w:afterAutospacing="1"/>
        <w:jc w:val="both"/>
        <w:rPr>
          <w:rFonts w:eastAsia="Calibri" w:cs="Arial"/>
          <w:color w:val="000000"/>
          <w:sz w:val="22"/>
          <w:szCs w:val="22"/>
        </w:rPr>
      </w:pPr>
      <w:r w:rsidRPr="00494FA0">
        <w:rPr>
          <w:rFonts w:eastAsia="Calibri" w:cs="Arial"/>
          <w:color w:val="000000"/>
          <w:sz w:val="22"/>
          <w:szCs w:val="22"/>
        </w:rPr>
        <w:t xml:space="preserve">Each year, the Board of Directors, affirms or creates the ideal board profile, identifies the priorities to aid the Nominations &amp; Elections committee in recruitment and evaluation of Board candidates.   </w:t>
      </w:r>
    </w:p>
    <w:p w14:paraId="70ED8846" w14:textId="77777777" w:rsidR="0089036D" w:rsidRPr="00494FA0" w:rsidRDefault="0089036D" w:rsidP="0089036D">
      <w:pPr>
        <w:keepNext/>
        <w:keepLines/>
        <w:jc w:val="both"/>
        <w:outlineLvl w:val="2"/>
        <w:rPr>
          <w:rFonts w:eastAsia="Times New Roman" w:cs="Arial"/>
          <w:i/>
          <w:color w:val="006335"/>
          <w:sz w:val="22"/>
          <w:szCs w:val="22"/>
        </w:rPr>
      </w:pPr>
      <w:r w:rsidRPr="00494FA0">
        <w:rPr>
          <w:rFonts w:eastAsia="Times New Roman" w:cs="Arial"/>
          <w:i/>
          <w:color w:val="006335"/>
          <w:sz w:val="22"/>
          <w:szCs w:val="22"/>
        </w:rPr>
        <w:t xml:space="preserve">Diversity &amp; Inclusion </w:t>
      </w:r>
    </w:p>
    <w:p w14:paraId="6391CE1A" w14:textId="77777777" w:rsidR="0089036D" w:rsidRPr="00494FA0" w:rsidRDefault="0089036D" w:rsidP="0089036D">
      <w:pPr>
        <w:jc w:val="both"/>
        <w:rPr>
          <w:rFonts w:eastAsia="Calibri" w:cs="Arial"/>
          <w:color w:val="000000"/>
          <w:sz w:val="22"/>
          <w:szCs w:val="22"/>
        </w:rPr>
      </w:pPr>
      <w:r w:rsidRPr="00494FA0">
        <w:rPr>
          <w:rFonts w:eastAsia="Calibri" w:cs="Arial"/>
          <w:color w:val="000000"/>
          <w:sz w:val="22"/>
          <w:szCs w:val="22"/>
        </w:rPr>
        <w:t xml:space="preserve">ASSP believes in diversity and values the benefits diversity brings to our activities at all levels, including the board of directors. </w:t>
      </w:r>
    </w:p>
    <w:p w14:paraId="6B9CB234" w14:textId="77777777" w:rsidR="0089036D" w:rsidRPr="00494FA0" w:rsidRDefault="0089036D" w:rsidP="0089036D">
      <w:pPr>
        <w:spacing w:before="100" w:beforeAutospacing="1" w:after="100" w:afterAutospacing="1"/>
        <w:jc w:val="both"/>
        <w:rPr>
          <w:rFonts w:eastAsia="Calibri" w:cs="Arial"/>
          <w:color w:val="000000"/>
          <w:sz w:val="22"/>
          <w:szCs w:val="22"/>
        </w:rPr>
      </w:pPr>
      <w:r w:rsidRPr="00494FA0">
        <w:rPr>
          <w:rFonts w:eastAsia="Calibri" w:cs="Arial"/>
          <w:color w:val="000000"/>
          <w:sz w:val="22"/>
          <w:szCs w:val="22"/>
        </w:rPr>
        <w:t xml:space="preserve">Having leaders who reflect diversity in gender, race, and ethnicity and who have different life experiences and cultural backgrounds contributes to more balanced board deliberations and better decision-making.  Creating an inclusive culture that embraces differences also best positions ASSP to address evolving member needs and advance the OSH profession. </w:t>
      </w:r>
    </w:p>
    <w:p w14:paraId="756D7145" w14:textId="77777777" w:rsidR="0089036D" w:rsidRPr="00494FA0" w:rsidRDefault="0089036D" w:rsidP="0089036D">
      <w:pPr>
        <w:spacing w:before="100" w:beforeAutospacing="1" w:after="100" w:afterAutospacing="1"/>
        <w:jc w:val="both"/>
        <w:rPr>
          <w:rFonts w:eastAsia="Calibri" w:cs="Arial"/>
          <w:color w:val="000000"/>
          <w:sz w:val="22"/>
          <w:szCs w:val="22"/>
        </w:rPr>
      </w:pPr>
      <w:r w:rsidRPr="00494FA0">
        <w:rPr>
          <w:rFonts w:eastAsia="Calibri" w:cs="Arial"/>
          <w:color w:val="000000"/>
          <w:sz w:val="22"/>
          <w:szCs w:val="22"/>
        </w:rPr>
        <w:t xml:space="preserve">To support this commitment, we require the consideration of diverse candidates in administering our board election process. </w:t>
      </w:r>
    </w:p>
    <w:p w14:paraId="029F51FE" w14:textId="77777777" w:rsidR="0089036D" w:rsidRPr="00494FA0" w:rsidRDefault="0089036D" w:rsidP="0089036D">
      <w:pPr>
        <w:spacing w:before="100" w:beforeAutospacing="1" w:after="100" w:afterAutospacing="1"/>
        <w:rPr>
          <w:rFonts w:eastAsia="Calibri" w:cs="Arial"/>
          <w:color w:val="000000"/>
          <w:sz w:val="22"/>
          <w:szCs w:val="22"/>
        </w:rPr>
      </w:pPr>
      <w:r w:rsidRPr="00494FA0">
        <w:rPr>
          <w:rFonts w:eastAsia="Times New Roman" w:cs="Arial"/>
          <w:i/>
          <w:color w:val="006335"/>
          <w:sz w:val="22"/>
          <w:szCs w:val="22"/>
        </w:rPr>
        <w:t>Demonstrated Competencies</w:t>
      </w:r>
      <w:r w:rsidRPr="00494FA0">
        <w:rPr>
          <w:rFonts w:eastAsia="Calibri" w:cs="Arial"/>
          <w:color w:val="000000"/>
          <w:sz w:val="22"/>
          <w:szCs w:val="22"/>
        </w:rPr>
        <w:br/>
        <w:t xml:space="preserve">We seek to build a board that as a collective body, exercises essential competencies. To assist in creating those competencies, we need multiple board members who possess these desired competencies and can nurture those competencies within the board.  We have identified the following: </w:t>
      </w:r>
    </w:p>
    <w:p w14:paraId="35191C5F" w14:textId="6A3F4A0F" w:rsidR="0089036D" w:rsidRDefault="0089036D" w:rsidP="0089036D">
      <w:pPr>
        <w:numPr>
          <w:ilvl w:val="0"/>
          <w:numId w:val="13"/>
        </w:numPr>
        <w:spacing w:before="100" w:beforeAutospacing="1" w:after="100" w:afterAutospacing="1"/>
        <w:contextualSpacing/>
        <w:jc w:val="both"/>
        <w:rPr>
          <w:rFonts w:eastAsia="Calibri" w:cs="Arial"/>
          <w:sz w:val="22"/>
          <w:szCs w:val="22"/>
        </w:rPr>
      </w:pPr>
      <w:r w:rsidRPr="00494FA0">
        <w:rPr>
          <w:rFonts w:eastAsia="Calibri" w:cs="Arial"/>
          <w:b/>
          <w:sz w:val="22"/>
          <w:szCs w:val="22"/>
          <w:u w:val="single"/>
        </w:rPr>
        <w:t>Board Governance:</w:t>
      </w:r>
      <w:r w:rsidRPr="00494FA0">
        <w:rPr>
          <w:rFonts w:eastAsia="Calibri" w:cs="Arial"/>
          <w:sz w:val="22"/>
          <w:szCs w:val="22"/>
        </w:rPr>
        <w:t xml:space="preserve"> A demonstrated understanding of the differences between oversight and supervision. Understands their role of overseeing the broader picture.  Clearly and comfortably delegates work.  Trusts people to perform.  Empowers team members.</w:t>
      </w:r>
    </w:p>
    <w:p w14:paraId="19090B7A" w14:textId="77777777" w:rsidR="00303A7D" w:rsidRPr="00494FA0" w:rsidRDefault="00303A7D" w:rsidP="00303A7D">
      <w:pPr>
        <w:spacing w:before="100" w:beforeAutospacing="1" w:after="100" w:afterAutospacing="1"/>
        <w:ind w:left="360"/>
        <w:contextualSpacing/>
        <w:jc w:val="both"/>
        <w:rPr>
          <w:rFonts w:eastAsia="Calibri" w:cs="Arial"/>
          <w:sz w:val="22"/>
          <w:szCs w:val="22"/>
        </w:rPr>
      </w:pPr>
    </w:p>
    <w:p w14:paraId="1F622A9A" w14:textId="0B09FBA0" w:rsidR="0089036D" w:rsidRDefault="0089036D" w:rsidP="0089036D">
      <w:pPr>
        <w:numPr>
          <w:ilvl w:val="0"/>
          <w:numId w:val="13"/>
        </w:numPr>
        <w:spacing w:before="100" w:beforeAutospacing="1" w:after="100" w:afterAutospacing="1"/>
        <w:contextualSpacing/>
        <w:jc w:val="both"/>
        <w:rPr>
          <w:rFonts w:eastAsia="Calibri" w:cs="Arial"/>
          <w:sz w:val="22"/>
          <w:szCs w:val="22"/>
        </w:rPr>
      </w:pPr>
      <w:r w:rsidRPr="00494FA0">
        <w:rPr>
          <w:rFonts w:eastAsia="Calibri" w:cs="Arial"/>
          <w:b/>
          <w:sz w:val="22"/>
          <w:szCs w:val="22"/>
          <w:u w:val="single"/>
        </w:rPr>
        <w:t>Strategic Agility:</w:t>
      </w:r>
      <w:r w:rsidRPr="00494FA0">
        <w:rPr>
          <w:rFonts w:eastAsia="Calibri" w:cs="Arial"/>
          <w:sz w:val="22"/>
          <w:szCs w:val="22"/>
        </w:rPr>
        <w:t xml:space="preserve"> A demonstrated ability to think strategically and analytically and to effectively communicate thoughts and the reasons for them. Sees ahead clearly; can anticipate future consequences and trends accurately; has broad knowledge and perspective; is future oriented; can </w:t>
      </w:r>
      <w:r w:rsidRPr="00494FA0">
        <w:rPr>
          <w:rFonts w:eastAsia="Calibri" w:cs="Arial"/>
          <w:sz w:val="22"/>
          <w:szCs w:val="22"/>
        </w:rPr>
        <w:lastRenderedPageBreak/>
        <w:t>articulately paint credible pictures and visions of possibilities and likelihoods; can create competitive and breakthrough strategies and plans.</w:t>
      </w:r>
    </w:p>
    <w:p w14:paraId="1906D45D" w14:textId="77777777" w:rsidR="00303A7D" w:rsidRPr="00494FA0" w:rsidRDefault="00303A7D" w:rsidP="00303A7D">
      <w:pPr>
        <w:spacing w:before="100" w:beforeAutospacing="1" w:after="100" w:afterAutospacing="1"/>
        <w:contextualSpacing/>
        <w:jc w:val="both"/>
        <w:rPr>
          <w:rFonts w:eastAsia="Calibri" w:cs="Arial"/>
          <w:sz w:val="22"/>
          <w:szCs w:val="22"/>
        </w:rPr>
      </w:pPr>
    </w:p>
    <w:p w14:paraId="3E5E707F" w14:textId="43B9F3D1" w:rsidR="0089036D" w:rsidRDefault="0089036D" w:rsidP="0089036D">
      <w:pPr>
        <w:numPr>
          <w:ilvl w:val="0"/>
          <w:numId w:val="13"/>
        </w:numPr>
        <w:spacing w:before="100" w:beforeAutospacing="1" w:after="100" w:afterAutospacing="1"/>
        <w:contextualSpacing/>
        <w:jc w:val="both"/>
        <w:rPr>
          <w:rFonts w:eastAsia="Calibri" w:cs="Arial"/>
          <w:sz w:val="22"/>
          <w:szCs w:val="22"/>
        </w:rPr>
      </w:pPr>
      <w:r w:rsidRPr="00494FA0">
        <w:rPr>
          <w:rFonts w:eastAsia="Calibri" w:cs="Arial"/>
          <w:b/>
          <w:sz w:val="22"/>
          <w:szCs w:val="22"/>
          <w:u w:val="single"/>
        </w:rPr>
        <w:t xml:space="preserve">Decision Making Skills: </w:t>
      </w:r>
      <w:r w:rsidRPr="00494FA0">
        <w:rPr>
          <w:rFonts w:eastAsia="Calibri" w:cs="Arial"/>
          <w:sz w:val="22"/>
          <w:szCs w:val="22"/>
        </w:rPr>
        <w:t>A demonstrated ab</w:t>
      </w:r>
      <w:r w:rsidRPr="00494FA0">
        <w:rPr>
          <w:rFonts w:eastAsia="Times New Roman" w:cs="Arial"/>
          <w:sz w:val="22"/>
          <w:szCs w:val="22"/>
        </w:rPr>
        <w:t>ility to use logic and reasoning to identify issues as well as the strengths and weaknesses of alternative solutions, conclusions, or approaches to problems.  Ability to make informed decisions efficiently and take action when needed.</w:t>
      </w:r>
      <w:r w:rsidRPr="00494FA0">
        <w:rPr>
          <w:rFonts w:eastAsia="Calibri" w:cs="Arial"/>
          <w:sz w:val="22"/>
          <w:szCs w:val="22"/>
        </w:rPr>
        <w:t xml:space="preserve"> Thinks strategically, manages complexity and acts decisively.</w:t>
      </w:r>
    </w:p>
    <w:p w14:paraId="4FCB644E" w14:textId="77777777" w:rsidR="00303A7D" w:rsidRPr="00494FA0" w:rsidRDefault="00303A7D" w:rsidP="00303A7D">
      <w:pPr>
        <w:spacing w:before="100" w:beforeAutospacing="1" w:after="100" w:afterAutospacing="1"/>
        <w:contextualSpacing/>
        <w:jc w:val="both"/>
        <w:rPr>
          <w:rFonts w:eastAsia="Calibri" w:cs="Arial"/>
          <w:sz w:val="22"/>
          <w:szCs w:val="22"/>
        </w:rPr>
      </w:pPr>
    </w:p>
    <w:p w14:paraId="480E8384" w14:textId="0C6758CA" w:rsidR="0089036D" w:rsidRPr="00494FA0" w:rsidRDefault="0089036D" w:rsidP="0089036D">
      <w:pPr>
        <w:numPr>
          <w:ilvl w:val="0"/>
          <w:numId w:val="13"/>
        </w:numPr>
        <w:spacing w:before="100" w:beforeAutospacing="1" w:after="100" w:afterAutospacing="1"/>
        <w:contextualSpacing/>
        <w:jc w:val="both"/>
        <w:rPr>
          <w:rFonts w:eastAsia="Calibri" w:cs="Arial"/>
          <w:sz w:val="22"/>
          <w:szCs w:val="22"/>
        </w:rPr>
      </w:pPr>
      <w:r w:rsidRPr="00494FA0">
        <w:rPr>
          <w:rFonts w:eastAsia="Calibri" w:cs="Arial"/>
          <w:b/>
          <w:sz w:val="22"/>
          <w:szCs w:val="22"/>
          <w:u w:val="single"/>
        </w:rPr>
        <w:t>Conflict Management:</w:t>
      </w:r>
      <w:r w:rsidRPr="00494FA0">
        <w:rPr>
          <w:rFonts w:eastAsia="Calibri" w:cs="Arial"/>
          <w:sz w:val="22"/>
          <w:szCs w:val="22"/>
        </w:rPr>
        <w:t xml:space="preserve"> Initiates successful resolution of conflict with other. Steps up to conflicts, seeing them as opportunities; reads situations quickly; good at focused listening. Ability to resolve conflict in a positive and timely manner. Maintains professionalism and emotional maturity when dealing with conflict.</w:t>
      </w:r>
    </w:p>
    <w:p w14:paraId="50178BEC" w14:textId="58146209" w:rsidR="0089036D" w:rsidRPr="00494FA0" w:rsidRDefault="0089036D" w:rsidP="0089036D">
      <w:pPr>
        <w:spacing w:before="100" w:beforeAutospacing="1" w:after="100" w:afterAutospacing="1"/>
        <w:rPr>
          <w:rFonts w:eastAsia="Calibri" w:cs="Arial"/>
          <w:color w:val="000000"/>
          <w:sz w:val="22"/>
          <w:szCs w:val="22"/>
        </w:rPr>
      </w:pPr>
      <w:r w:rsidRPr="00494FA0">
        <w:rPr>
          <w:rFonts w:eastAsia="Calibri" w:cs="Arial"/>
          <w:b/>
          <w:color w:val="000000"/>
          <w:sz w:val="22"/>
          <w:szCs w:val="22"/>
        </w:rPr>
        <w:br/>
      </w:r>
      <w:r w:rsidRPr="00494FA0">
        <w:rPr>
          <w:rFonts w:eastAsia="Times New Roman" w:cs="Arial"/>
          <w:i/>
          <w:color w:val="006335"/>
          <w:sz w:val="24"/>
        </w:rPr>
        <w:t>Competencies required of every board member/candidate</w:t>
      </w:r>
      <w:r w:rsidRPr="00494FA0">
        <w:rPr>
          <w:rFonts w:eastAsia="Calibri" w:cs="Arial"/>
          <w:color w:val="000000"/>
          <w:sz w:val="22"/>
          <w:szCs w:val="22"/>
        </w:rPr>
        <w:br/>
        <w:t>The Board has identified competencies required for each Board member. Candidates must be able to demonstrate these competencie</w:t>
      </w:r>
      <w:r w:rsidR="0079630B">
        <w:rPr>
          <w:rFonts w:eastAsia="Calibri" w:cs="Arial"/>
          <w:color w:val="000000"/>
          <w:sz w:val="22"/>
          <w:szCs w:val="22"/>
        </w:rPr>
        <w:t>s.</w:t>
      </w:r>
      <w:bookmarkStart w:id="0" w:name="_GoBack"/>
      <w:bookmarkEnd w:id="0"/>
    </w:p>
    <w:p w14:paraId="325FCEA0" w14:textId="017287DF" w:rsidR="0089036D" w:rsidRDefault="0089036D" w:rsidP="0089036D">
      <w:pPr>
        <w:numPr>
          <w:ilvl w:val="0"/>
          <w:numId w:val="14"/>
        </w:numPr>
        <w:spacing w:before="100" w:beforeAutospacing="1" w:after="100" w:afterAutospacing="1"/>
        <w:contextualSpacing/>
        <w:jc w:val="both"/>
        <w:rPr>
          <w:rFonts w:eastAsia="Calibri" w:cs="Arial"/>
          <w:color w:val="000000"/>
          <w:sz w:val="22"/>
          <w:szCs w:val="22"/>
        </w:rPr>
      </w:pPr>
      <w:r w:rsidRPr="00494FA0">
        <w:rPr>
          <w:rFonts w:eastAsia="Calibri" w:cs="Arial"/>
          <w:b/>
          <w:color w:val="000000"/>
          <w:sz w:val="22"/>
          <w:szCs w:val="22"/>
          <w:u w:val="single"/>
        </w:rPr>
        <w:t>Member Value Focus</w:t>
      </w:r>
      <w:r w:rsidRPr="00303A7D">
        <w:rPr>
          <w:rFonts w:eastAsia="Calibri" w:cs="Arial"/>
          <w:b/>
          <w:color w:val="000000"/>
          <w:sz w:val="22"/>
          <w:szCs w:val="22"/>
          <w:u w:val="single"/>
        </w:rPr>
        <w:t>ed</w:t>
      </w:r>
      <w:r w:rsidRPr="00494FA0">
        <w:rPr>
          <w:rFonts w:eastAsia="Calibri" w:cs="Arial"/>
          <w:color w:val="000000"/>
          <w:sz w:val="22"/>
          <w:szCs w:val="22"/>
          <w:u w:val="single"/>
        </w:rPr>
        <w:t>:</w:t>
      </w:r>
      <w:r w:rsidRPr="00494FA0">
        <w:rPr>
          <w:rFonts w:eastAsia="Calibri" w:cs="Arial"/>
          <w:color w:val="000000"/>
          <w:sz w:val="22"/>
          <w:szCs w:val="22"/>
        </w:rPr>
        <w:t xml:space="preserve"> Acts with members in mind. Is dedicated to providing value to members; gets first-hand member information and uses it for improvements in products and services; establishes and maintains effective relationships with members and gains their trust and respect.</w:t>
      </w:r>
    </w:p>
    <w:p w14:paraId="21D3224C" w14:textId="77777777" w:rsidR="00303A7D" w:rsidRPr="00494FA0" w:rsidRDefault="00303A7D" w:rsidP="00303A7D">
      <w:pPr>
        <w:spacing w:before="100" w:beforeAutospacing="1" w:after="100" w:afterAutospacing="1"/>
        <w:ind w:left="360"/>
        <w:contextualSpacing/>
        <w:jc w:val="both"/>
        <w:rPr>
          <w:rFonts w:eastAsia="Calibri" w:cs="Arial"/>
          <w:color w:val="000000"/>
          <w:sz w:val="22"/>
          <w:szCs w:val="22"/>
        </w:rPr>
      </w:pPr>
    </w:p>
    <w:p w14:paraId="56345B08" w14:textId="3BD77E80" w:rsidR="005C54F2" w:rsidRDefault="005C54F2" w:rsidP="005C54F2">
      <w:pPr>
        <w:numPr>
          <w:ilvl w:val="0"/>
          <w:numId w:val="14"/>
        </w:numPr>
        <w:spacing w:before="100" w:beforeAutospacing="1" w:after="100" w:afterAutospacing="1"/>
        <w:contextualSpacing/>
        <w:jc w:val="both"/>
        <w:rPr>
          <w:rFonts w:eastAsia="Calibri" w:cs="Arial"/>
          <w:sz w:val="22"/>
          <w:szCs w:val="22"/>
        </w:rPr>
      </w:pPr>
      <w:r w:rsidRPr="00494FA0">
        <w:rPr>
          <w:rFonts w:eastAsia="Calibri" w:cs="Arial"/>
          <w:b/>
          <w:sz w:val="22"/>
          <w:szCs w:val="22"/>
          <w:u w:val="single"/>
        </w:rPr>
        <w:t>Business Acumen &amp; Financial Management:</w:t>
      </w:r>
      <w:r w:rsidRPr="00494FA0">
        <w:rPr>
          <w:rFonts w:eastAsia="Calibri" w:cs="Arial"/>
          <w:sz w:val="22"/>
          <w:szCs w:val="22"/>
        </w:rPr>
        <w:t xml:space="preserve"> </w:t>
      </w:r>
      <w:r w:rsidR="000478EB">
        <w:rPr>
          <w:rFonts w:eastAsia="Calibri" w:cs="Arial"/>
          <w:sz w:val="22"/>
          <w:szCs w:val="22"/>
        </w:rPr>
        <w:t>Demonstrated understanding of</w:t>
      </w:r>
      <w:r w:rsidRPr="00494FA0">
        <w:rPr>
          <w:rFonts w:eastAsia="Calibri" w:cs="Arial"/>
          <w:sz w:val="22"/>
          <w:szCs w:val="22"/>
        </w:rPr>
        <w:t xml:space="preserve"> how businesses work; knowledgeable in current and potential future OSH policies, practices, trends, and information affecting his/her business and organization; knows the competition; is aware of how strategies and tactics work in the </w:t>
      </w:r>
      <w:r w:rsidRPr="000478EB">
        <w:rPr>
          <w:rFonts w:eastAsia="Calibri" w:cs="Arial"/>
          <w:sz w:val="22"/>
          <w:szCs w:val="22"/>
        </w:rPr>
        <w:t xml:space="preserve">marketplace.  </w:t>
      </w:r>
      <w:r w:rsidR="000478EB" w:rsidRPr="000478EB">
        <w:rPr>
          <w:rFonts w:eastAsia="Calibri" w:cs="Arial"/>
          <w:sz w:val="22"/>
          <w:szCs w:val="22"/>
        </w:rPr>
        <w:t xml:space="preserve">Demonstrates </w:t>
      </w:r>
      <w:r w:rsidR="000478EB" w:rsidRPr="000478EB">
        <w:rPr>
          <w:rStyle w:val="Strong"/>
          <w:rFonts w:cs="Arial"/>
          <w:b w:val="0"/>
          <w:bCs w:val="0"/>
          <w:sz w:val="22"/>
          <w:szCs w:val="22"/>
          <w:bdr w:val="none" w:sz="0" w:space="0" w:color="auto" w:frame="1"/>
        </w:rPr>
        <w:t>financial literacy</w:t>
      </w:r>
      <w:r w:rsidR="000478EB" w:rsidRPr="000478EB">
        <w:rPr>
          <w:rStyle w:val="Strong"/>
          <w:rFonts w:cs="Arial"/>
          <w:sz w:val="22"/>
          <w:szCs w:val="22"/>
          <w:bdr w:val="none" w:sz="0" w:space="0" w:color="auto" w:frame="1"/>
        </w:rPr>
        <w:t> </w:t>
      </w:r>
      <w:r w:rsidR="000478EB" w:rsidRPr="000478EB">
        <w:rPr>
          <w:rFonts w:cs="Arial"/>
          <w:sz w:val="22"/>
          <w:szCs w:val="22"/>
        </w:rPr>
        <w:t xml:space="preserve">with an understanding of processes such as budgeting, reporting, forecasting, and </w:t>
      </w:r>
      <w:r w:rsidRPr="000478EB">
        <w:rPr>
          <w:rFonts w:eastAsia="Calibri" w:cs="Arial"/>
          <w:sz w:val="22"/>
          <w:szCs w:val="22"/>
        </w:rPr>
        <w:t xml:space="preserve">ability to analyze financial statements, including balance sheet and income/expense statements. </w:t>
      </w:r>
    </w:p>
    <w:p w14:paraId="551CBF04" w14:textId="77777777" w:rsidR="00303A7D" w:rsidRPr="00494FA0" w:rsidRDefault="00303A7D" w:rsidP="00303A7D">
      <w:pPr>
        <w:spacing w:before="100" w:beforeAutospacing="1" w:after="100" w:afterAutospacing="1"/>
        <w:contextualSpacing/>
        <w:jc w:val="both"/>
        <w:rPr>
          <w:rFonts w:eastAsia="Calibri" w:cs="Arial"/>
          <w:sz w:val="22"/>
          <w:szCs w:val="22"/>
        </w:rPr>
      </w:pPr>
    </w:p>
    <w:p w14:paraId="2086AD90" w14:textId="7C73A379" w:rsidR="0089036D" w:rsidRDefault="0089036D" w:rsidP="0089036D">
      <w:pPr>
        <w:numPr>
          <w:ilvl w:val="0"/>
          <w:numId w:val="14"/>
        </w:numPr>
        <w:spacing w:before="100" w:beforeAutospacing="1" w:after="100" w:afterAutospacing="1"/>
        <w:contextualSpacing/>
        <w:jc w:val="both"/>
        <w:rPr>
          <w:rFonts w:eastAsia="Calibri" w:cs="Arial"/>
          <w:color w:val="000000"/>
          <w:sz w:val="22"/>
          <w:szCs w:val="22"/>
        </w:rPr>
      </w:pPr>
      <w:r w:rsidRPr="00494FA0">
        <w:rPr>
          <w:rFonts w:eastAsia="Calibri" w:cs="Arial"/>
          <w:b/>
          <w:color w:val="000000"/>
          <w:sz w:val="22"/>
          <w:szCs w:val="22"/>
          <w:u w:val="single"/>
        </w:rPr>
        <w:t>Organizational Agility:</w:t>
      </w:r>
      <w:r w:rsidRPr="00494FA0">
        <w:rPr>
          <w:rFonts w:eastAsia="Calibri" w:cs="Arial"/>
          <w:color w:val="000000"/>
          <w:sz w:val="22"/>
          <w:szCs w:val="22"/>
        </w:rPr>
        <w:t xml:space="preserve"> Knows the ASSP Councils and committees and their scope.  Curiosity about and understanding of the history, processes and procedures of our organization. Willingness to observe the bylaws and board-approved policies and procedures.</w:t>
      </w:r>
    </w:p>
    <w:p w14:paraId="7B535EC7" w14:textId="77777777" w:rsidR="00303A7D" w:rsidRPr="00494FA0" w:rsidRDefault="00303A7D" w:rsidP="00303A7D">
      <w:pPr>
        <w:spacing w:before="100" w:beforeAutospacing="1" w:after="100" w:afterAutospacing="1"/>
        <w:contextualSpacing/>
        <w:jc w:val="both"/>
        <w:rPr>
          <w:rFonts w:eastAsia="Calibri" w:cs="Arial"/>
          <w:color w:val="000000"/>
          <w:sz w:val="22"/>
          <w:szCs w:val="22"/>
        </w:rPr>
      </w:pPr>
    </w:p>
    <w:p w14:paraId="69BD3431" w14:textId="545698AE" w:rsidR="0089036D" w:rsidRDefault="0089036D" w:rsidP="0089036D">
      <w:pPr>
        <w:numPr>
          <w:ilvl w:val="0"/>
          <w:numId w:val="14"/>
        </w:numPr>
        <w:spacing w:before="100" w:beforeAutospacing="1" w:after="100" w:afterAutospacing="1"/>
        <w:contextualSpacing/>
        <w:jc w:val="both"/>
        <w:rPr>
          <w:rFonts w:eastAsia="Calibri" w:cs="Arial"/>
          <w:color w:val="000000"/>
          <w:sz w:val="22"/>
          <w:szCs w:val="22"/>
        </w:rPr>
      </w:pPr>
      <w:r w:rsidRPr="00494FA0">
        <w:rPr>
          <w:rFonts w:eastAsia="Calibri" w:cs="Arial"/>
          <w:b/>
          <w:color w:val="000000"/>
          <w:sz w:val="22"/>
          <w:szCs w:val="22"/>
          <w:u w:val="single"/>
        </w:rPr>
        <w:t>Emotionally Intelligent</w:t>
      </w:r>
      <w:r w:rsidRPr="00494FA0">
        <w:rPr>
          <w:rFonts w:eastAsia="Calibri" w:cs="Arial"/>
          <w:color w:val="000000"/>
          <w:sz w:val="22"/>
          <w:szCs w:val="22"/>
        </w:rPr>
        <w:t xml:space="preserve">: An earned reputation for emotional maturity, personal integrity, and honesty. Knows personal strengths, weaknesses, opportunities, and limits; seeks feedback; gains insights from mistakes; is open to criticism. </w:t>
      </w:r>
    </w:p>
    <w:p w14:paraId="192C3443" w14:textId="77777777" w:rsidR="00303A7D" w:rsidRPr="00494FA0" w:rsidRDefault="00303A7D" w:rsidP="00303A7D">
      <w:pPr>
        <w:spacing w:before="100" w:beforeAutospacing="1" w:after="100" w:afterAutospacing="1"/>
        <w:contextualSpacing/>
        <w:jc w:val="both"/>
        <w:rPr>
          <w:rFonts w:eastAsia="Calibri" w:cs="Arial"/>
          <w:color w:val="000000"/>
          <w:sz w:val="22"/>
          <w:szCs w:val="22"/>
        </w:rPr>
      </w:pPr>
    </w:p>
    <w:p w14:paraId="1A883590" w14:textId="086134E4" w:rsidR="0089036D" w:rsidRDefault="0089036D" w:rsidP="0089036D">
      <w:pPr>
        <w:numPr>
          <w:ilvl w:val="0"/>
          <w:numId w:val="14"/>
        </w:numPr>
        <w:spacing w:before="100" w:beforeAutospacing="1" w:after="100" w:afterAutospacing="1"/>
        <w:contextualSpacing/>
        <w:jc w:val="both"/>
        <w:rPr>
          <w:rFonts w:eastAsia="Calibri" w:cs="Arial"/>
          <w:color w:val="000000"/>
          <w:sz w:val="22"/>
          <w:szCs w:val="22"/>
        </w:rPr>
      </w:pPr>
      <w:r w:rsidRPr="00494FA0">
        <w:rPr>
          <w:rFonts w:eastAsia="Calibri" w:cs="Arial"/>
          <w:b/>
          <w:color w:val="000000"/>
          <w:sz w:val="22"/>
          <w:szCs w:val="22"/>
          <w:u w:val="single"/>
        </w:rPr>
        <w:t>Collaborative:</w:t>
      </w:r>
      <w:r w:rsidRPr="00494FA0">
        <w:rPr>
          <w:rFonts w:eastAsia="Calibri" w:cs="Arial"/>
          <w:color w:val="000000"/>
          <w:sz w:val="22"/>
          <w:szCs w:val="22"/>
        </w:rPr>
        <w:t xml:space="preserve"> Demonstrated ability and willingness to work effectively and collaboratively in a group.</w:t>
      </w:r>
    </w:p>
    <w:p w14:paraId="1436B605" w14:textId="77777777" w:rsidR="00303A7D" w:rsidRPr="00494FA0" w:rsidRDefault="00303A7D" w:rsidP="00303A7D">
      <w:pPr>
        <w:spacing w:before="100" w:beforeAutospacing="1" w:after="100" w:afterAutospacing="1"/>
        <w:contextualSpacing/>
        <w:jc w:val="both"/>
        <w:rPr>
          <w:rFonts w:eastAsia="Calibri" w:cs="Arial"/>
          <w:color w:val="000000"/>
          <w:sz w:val="22"/>
          <w:szCs w:val="22"/>
        </w:rPr>
      </w:pPr>
    </w:p>
    <w:p w14:paraId="767B8F27" w14:textId="77777777" w:rsidR="0089036D" w:rsidRPr="00494FA0" w:rsidRDefault="0089036D" w:rsidP="0089036D">
      <w:pPr>
        <w:numPr>
          <w:ilvl w:val="0"/>
          <w:numId w:val="14"/>
        </w:numPr>
        <w:spacing w:before="100" w:beforeAutospacing="1" w:after="100" w:afterAutospacing="1"/>
        <w:contextualSpacing/>
        <w:jc w:val="both"/>
        <w:rPr>
          <w:rFonts w:eastAsia="Calibri" w:cs="Arial"/>
          <w:color w:val="000000"/>
          <w:sz w:val="22"/>
          <w:szCs w:val="22"/>
        </w:rPr>
      </w:pPr>
      <w:r w:rsidRPr="00494FA0">
        <w:rPr>
          <w:rFonts w:eastAsia="Calibri" w:cs="Arial"/>
          <w:b/>
          <w:color w:val="000000"/>
          <w:sz w:val="22"/>
          <w:szCs w:val="22"/>
          <w:u w:val="single"/>
        </w:rPr>
        <w:t>Demonstrated professionalism</w:t>
      </w:r>
      <w:r w:rsidRPr="00494FA0">
        <w:rPr>
          <w:rFonts w:eastAsia="Calibri" w:cs="Arial"/>
          <w:color w:val="000000"/>
          <w:sz w:val="22"/>
          <w:szCs w:val="22"/>
        </w:rPr>
        <w:t>:</w:t>
      </w:r>
    </w:p>
    <w:p w14:paraId="7D2FD40F" w14:textId="77777777" w:rsidR="0089036D" w:rsidRPr="00494FA0" w:rsidRDefault="0089036D" w:rsidP="0089036D">
      <w:pPr>
        <w:numPr>
          <w:ilvl w:val="0"/>
          <w:numId w:val="15"/>
        </w:numPr>
        <w:spacing w:before="100" w:beforeAutospacing="1" w:after="100" w:afterAutospacing="1"/>
        <w:ind w:left="720"/>
        <w:contextualSpacing/>
        <w:jc w:val="both"/>
        <w:rPr>
          <w:rFonts w:eastAsia="Calibri" w:cs="Arial"/>
          <w:color w:val="000000"/>
          <w:sz w:val="22"/>
          <w:szCs w:val="22"/>
        </w:rPr>
      </w:pPr>
      <w:r w:rsidRPr="00494FA0">
        <w:rPr>
          <w:rFonts w:eastAsia="Calibri" w:cs="Arial"/>
          <w:color w:val="000000"/>
          <w:sz w:val="22"/>
          <w:szCs w:val="22"/>
        </w:rPr>
        <w:t>Regularly participates in continuing skill and knowledge development.</w:t>
      </w:r>
    </w:p>
    <w:p w14:paraId="2EE73E42" w14:textId="77777777" w:rsidR="0089036D" w:rsidRPr="00494FA0" w:rsidRDefault="0089036D" w:rsidP="0089036D">
      <w:pPr>
        <w:numPr>
          <w:ilvl w:val="0"/>
          <w:numId w:val="15"/>
        </w:numPr>
        <w:spacing w:before="100" w:beforeAutospacing="1" w:after="100" w:afterAutospacing="1"/>
        <w:ind w:left="720"/>
        <w:contextualSpacing/>
        <w:jc w:val="both"/>
        <w:rPr>
          <w:rFonts w:eastAsia="Calibri" w:cs="Arial"/>
          <w:color w:val="000000"/>
          <w:sz w:val="22"/>
          <w:szCs w:val="22"/>
        </w:rPr>
      </w:pPr>
      <w:r w:rsidRPr="00494FA0">
        <w:rPr>
          <w:rFonts w:eastAsia="Calibri" w:cs="Arial"/>
          <w:color w:val="000000"/>
          <w:sz w:val="22"/>
          <w:szCs w:val="22"/>
        </w:rPr>
        <w:lastRenderedPageBreak/>
        <w:t>Demonstrates a high level of personal and professional integrity, trustworthiness, ethics and values.</w:t>
      </w:r>
    </w:p>
    <w:p w14:paraId="784C38B9" w14:textId="77777777" w:rsidR="0089036D" w:rsidRPr="00494FA0" w:rsidRDefault="0089036D" w:rsidP="0089036D">
      <w:pPr>
        <w:numPr>
          <w:ilvl w:val="0"/>
          <w:numId w:val="15"/>
        </w:numPr>
        <w:spacing w:before="100" w:beforeAutospacing="1" w:after="100" w:afterAutospacing="1"/>
        <w:ind w:left="720"/>
        <w:contextualSpacing/>
        <w:jc w:val="both"/>
        <w:rPr>
          <w:rFonts w:eastAsia="Calibri" w:cs="Arial"/>
          <w:color w:val="000000"/>
          <w:sz w:val="22"/>
          <w:szCs w:val="22"/>
        </w:rPr>
      </w:pPr>
      <w:r w:rsidRPr="00494FA0">
        <w:rPr>
          <w:rFonts w:eastAsia="Calibri" w:cs="Arial"/>
          <w:color w:val="000000"/>
          <w:sz w:val="22"/>
          <w:szCs w:val="22"/>
        </w:rPr>
        <w:t>Displays flexibility and open-mindedness.</w:t>
      </w:r>
    </w:p>
    <w:p w14:paraId="1F290DBD" w14:textId="7B5CDC0B" w:rsidR="0089036D" w:rsidRDefault="0089036D" w:rsidP="0089036D">
      <w:pPr>
        <w:numPr>
          <w:ilvl w:val="0"/>
          <w:numId w:val="15"/>
        </w:numPr>
        <w:spacing w:before="100" w:beforeAutospacing="1" w:after="100" w:afterAutospacing="1"/>
        <w:ind w:left="720"/>
        <w:contextualSpacing/>
        <w:jc w:val="both"/>
        <w:rPr>
          <w:rFonts w:eastAsia="Calibri" w:cs="Arial"/>
          <w:color w:val="000000"/>
          <w:sz w:val="22"/>
          <w:szCs w:val="22"/>
        </w:rPr>
      </w:pPr>
      <w:r w:rsidRPr="00494FA0">
        <w:rPr>
          <w:rFonts w:eastAsia="Calibri" w:cs="Arial"/>
          <w:color w:val="000000"/>
          <w:sz w:val="22"/>
          <w:szCs w:val="22"/>
        </w:rPr>
        <w:t>Demonstrates professional and appropriate conduct in public.</w:t>
      </w:r>
    </w:p>
    <w:p w14:paraId="347295DF" w14:textId="77777777" w:rsidR="00303A7D" w:rsidRPr="00494FA0" w:rsidRDefault="00303A7D" w:rsidP="00303A7D">
      <w:pPr>
        <w:spacing w:before="100" w:beforeAutospacing="1" w:after="100" w:afterAutospacing="1"/>
        <w:ind w:left="720"/>
        <w:contextualSpacing/>
        <w:jc w:val="both"/>
        <w:rPr>
          <w:rFonts w:eastAsia="Calibri" w:cs="Arial"/>
          <w:color w:val="000000"/>
          <w:sz w:val="22"/>
          <w:szCs w:val="22"/>
        </w:rPr>
      </w:pPr>
    </w:p>
    <w:p w14:paraId="0500E14F" w14:textId="77777777" w:rsidR="0089036D" w:rsidRPr="00494FA0" w:rsidRDefault="0089036D" w:rsidP="0089036D">
      <w:pPr>
        <w:numPr>
          <w:ilvl w:val="0"/>
          <w:numId w:val="14"/>
        </w:numPr>
        <w:spacing w:before="100" w:beforeAutospacing="1" w:after="100" w:afterAutospacing="1"/>
        <w:contextualSpacing/>
        <w:jc w:val="both"/>
        <w:rPr>
          <w:rFonts w:eastAsia="Calibri" w:cs="Arial"/>
          <w:b/>
          <w:color w:val="000000"/>
          <w:sz w:val="22"/>
          <w:szCs w:val="22"/>
          <w:u w:val="single"/>
        </w:rPr>
      </w:pPr>
      <w:r w:rsidRPr="00494FA0">
        <w:rPr>
          <w:rFonts w:eastAsia="Calibri" w:cs="Arial"/>
          <w:b/>
          <w:color w:val="000000"/>
          <w:sz w:val="22"/>
          <w:szCs w:val="22"/>
          <w:u w:val="single"/>
        </w:rPr>
        <w:t>Commitment to ASSP:</w:t>
      </w:r>
    </w:p>
    <w:p w14:paraId="0DD0386B" w14:textId="77777777" w:rsidR="0089036D" w:rsidRPr="00494FA0" w:rsidRDefault="0089036D" w:rsidP="0089036D">
      <w:pPr>
        <w:numPr>
          <w:ilvl w:val="0"/>
          <w:numId w:val="15"/>
        </w:numPr>
        <w:spacing w:before="100" w:beforeAutospacing="1" w:after="100" w:afterAutospacing="1"/>
        <w:ind w:left="720"/>
        <w:contextualSpacing/>
        <w:jc w:val="both"/>
        <w:rPr>
          <w:rFonts w:eastAsia="Calibri" w:cs="Arial"/>
          <w:color w:val="000000"/>
          <w:sz w:val="22"/>
          <w:szCs w:val="22"/>
        </w:rPr>
      </w:pPr>
      <w:r w:rsidRPr="00494FA0">
        <w:rPr>
          <w:rFonts w:eastAsia="Calibri" w:cs="Arial"/>
          <w:color w:val="000000"/>
          <w:sz w:val="22"/>
          <w:szCs w:val="22"/>
        </w:rPr>
        <w:t>Demonstrates a commitment to ASSP through a history of participation in leadership roles and ASSP Foundation contributions.</w:t>
      </w:r>
    </w:p>
    <w:p w14:paraId="08111480" w14:textId="77777777" w:rsidR="0089036D" w:rsidRPr="00494FA0" w:rsidRDefault="0089036D" w:rsidP="0089036D">
      <w:pPr>
        <w:numPr>
          <w:ilvl w:val="0"/>
          <w:numId w:val="15"/>
        </w:numPr>
        <w:spacing w:before="100" w:beforeAutospacing="1" w:after="100" w:afterAutospacing="1"/>
        <w:ind w:left="720"/>
        <w:contextualSpacing/>
        <w:jc w:val="both"/>
        <w:rPr>
          <w:rFonts w:eastAsia="Calibri" w:cs="Arial"/>
          <w:color w:val="000000"/>
          <w:sz w:val="22"/>
          <w:szCs w:val="22"/>
        </w:rPr>
      </w:pPr>
      <w:r w:rsidRPr="00494FA0">
        <w:rPr>
          <w:rFonts w:eastAsia="Calibri" w:cs="Arial"/>
          <w:color w:val="000000"/>
          <w:sz w:val="22"/>
          <w:szCs w:val="22"/>
        </w:rPr>
        <w:t>Display's willingness and ability to commit the necessary time to fulfill ASSP leadership responsibilities effectively.</w:t>
      </w:r>
    </w:p>
    <w:p w14:paraId="124C2BC0" w14:textId="77777777" w:rsidR="0089036D" w:rsidRPr="00494FA0" w:rsidRDefault="0089036D" w:rsidP="0089036D">
      <w:pPr>
        <w:numPr>
          <w:ilvl w:val="0"/>
          <w:numId w:val="15"/>
        </w:numPr>
        <w:spacing w:before="100" w:beforeAutospacing="1" w:after="100" w:afterAutospacing="1"/>
        <w:ind w:left="720"/>
        <w:contextualSpacing/>
        <w:jc w:val="both"/>
        <w:rPr>
          <w:rFonts w:eastAsia="Calibri" w:cs="Arial"/>
          <w:color w:val="000000"/>
          <w:sz w:val="22"/>
          <w:szCs w:val="22"/>
        </w:rPr>
      </w:pPr>
      <w:r w:rsidRPr="00494FA0">
        <w:rPr>
          <w:rFonts w:eastAsia="Calibri" w:cs="Arial"/>
          <w:color w:val="000000"/>
          <w:sz w:val="22"/>
          <w:szCs w:val="22"/>
        </w:rPr>
        <w:t xml:space="preserve">Understands and is willing to support decisions and policies made by the ASSP Board. </w:t>
      </w:r>
    </w:p>
    <w:p w14:paraId="0F370F8A" w14:textId="77777777" w:rsidR="0089036D" w:rsidRPr="00494FA0" w:rsidRDefault="0089036D" w:rsidP="0089036D">
      <w:pPr>
        <w:numPr>
          <w:ilvl w:val="0"/>
          <w:numId w:val="15"/>
        </w:numPr>
        <w:spacing w:before="100" w:beforeAutospacing="1" w:after="100" w:afterAutospacing="1"/>
        <w:ind w:left="720"/>
        <w:contextualSpacing/>
        <w:jc w:val="both"/>
        <w:rPr>
          <w:rFonts w:eastAsia="Calibri" w:cs="Arial"/>
          <w:color w:val="000000"/>
          <w:sz w:val="22"/>
          <w:szCs w:val="22"/>
        </w:rPr>
      </w:pPr>
      <w:r w:rsidRPr="00494FA0">
        <w:rPr>
          <w:rFonts w:eastAsia="Calibri" w:cs="Arial"/>
          <w:color w:val="000000"/>
          <w:sz w:val="22"/>
          <w:szCs w:val="22"/>
        </w:rPr>
        <w:t>Willingness to speak positively and supportively, in any venue, about ASSP and its initiatives, positions and policies.</w:t>
      </w:r>
    </w:p>
    <w:p w14:paraId="589639F8" w14:textId="0C0235A2" w:rsidR="00DE2AC7" w:rsidRDefault="00DE2AC7">
      <w:pPr>
        <w:rPr>
          <w:rFonts w:cs="Arial"/>
        </w:rPr>
      </w:pPr>
    </w:p>
    <w:p w14:paraId="3EC977EF" w14:textId="07EB52FE" w:rsidR="00303A7D" w:rsidRDefault="00303A7D" w:rsidP="00303A7D">
      <w:pPr>
        <w:rPr>
          <w:rFonts w:cs="Arial"/>
          <w:sz w:val="22"/>
          <w:szCs w:val="28"/>
        </w:rPr>
      </w:pPr>
      <w:r w:rsidRPr="00303A7D">
        <w:rPr>
          <w:rFonts w:cs="Arial"/>
          <w:sz w:val="22"/>
          <w:szCs w:val="28"/>
        </w:rPr>
        <w:t xml:space="preserve">Thank you for your efforts in supporting this critical component of the ASSP governance structure.  </w:t>
      </w:r>
    </w:p>
    <w:p w14:paraId="69DB935E" w14:textId="77777777" w:rsidR="00303A7D" w:rsidRPr="00303A7D" w:rsidRDefault="00303A7D" w:rsidP="00303A7D">
      <w:pPr>
        <w:rPr>
          <w:rFonts w:cs="Arial"/>
          <w:sz w:val="22"/>
          <w:szCs w:val="28"/>
        </w:rPr>
      </w:pPr>
    </w:p>
    <w:p w14:paraId="4BD037E1" w14:textId="520AEB22" w:rsidR="00303A7D" w:rsidRPr="00303A7D" w:rsidRDefault="00303A7D" w:rsidP="00303A7D">
      <w:pPr>
        <w:rPr>
          <w:rFonts w:cs="Arial"/>
          <w:sz w:val="22"/>
          <w:szCs w:val="28"/>
        </w:rPr>
      </w:pPr>
      <w:r w:rsidRPr="00303A7D">
        <w:rPr>
          <w:rFonts w:cs="Arial"/>
          <w:sz w:val="22"/>
          <w:szCs w:val="28"/>
        </w:rPr>
        <w:t>ASSP Board of Directors</w:t>
      </w:r>
    </w:p>
    <w:sectPr w:rsidR="00303A7D" w:rsidRPr="00303A7D" w:rsidSect="00200987">
      <w:headerReference w:type="default" r:id="rId7"/>
      <w:footerReference w:type="default" r:id="rId8"/>
      <w:headerReference w:type="first" r:id="rId9"/>
      <w:footerReference w:type="first" r:id="rId10"/>
      <w:pgSz w:w="12240" w:h="15840"/>
      <w:pgMar w:top="2520" w:right="720" w:bottom="1440" w:left="1080" w:header="720" w:footer="12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2649" w14:textId="77777777" w:rsidR="0089036D" w:rsidRDefault="0089036D" w:rsidP="00502582">
      <w:r>
        <w:separator/>
      </w:r>
    </w:p>
  </w:endnote>
  <w:endnote w:type="continuationSeparator" w:id="0">
    <w:p w14:paraId="47F04206" w14:textId="77777777" w:rsidR="0089036D" w:rsidRDefault="0089036D" w:rsidP="0050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dy CS)">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027827"/>
      <w:docPartObj>
        <w:docPartGallery w:val="Page Numbers (Bottom of Page)"/>
        <w:docPartUnique/>
      </w:docPartObj>
    </w:sdtPr>
    <w:sdtEndPr>
      <w:rPr>
        <w:noProof/>
      </w:rPr>
    </w:sdtEndPr>
    <w:sdtContent>
      <w:p w14:paraId="39E2323E" w14:textId="77777777" w:rsidR="00DE2AC7" w:rsidRDefault="00D30D55">
        <w:pPr>
          <w:pStyle w:val="Footer"/>
          <w:jc w:val="right"/>
        </w:pPr>
        <w:r>
          <w:rPr>
            <w:noProof/>
          </w:rPr>
          <w:drawing>
            <wp:anchor distT="0" distB="0" distL="114300" distR="114300" simplePos="0" relativeHeight="251663360" behindDoc="0" locked="0" layoutInCell="1" allowOverlap="1" wp14:anchorId="09D26B70" wp14:editId="68706966">
              <wp:simplePos x="0" y="0"/>
              <wp:positionH relativeFrom="margin">
                <wp:align>center</wp:align>
              </wp:positionH>
              <wp:positionV relativeFrom="page">
                <wp:align>bottom</wp:align>
              </wp:positionV>
              <wp:extent cx="7772400" cy="1371900"/>
              <wp:effectExtent l="0" t="0" r="0" b="0"/>
              <wp:wrapSquare wrapText="bothSides"/>
              <wp:docPr id="38" name="Picture 38" descr="A picture containing bird, tree,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P_Letterhead_Footer_200424.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900"/>
                      </a:xfrm>
                      <a:prstGeom prst="rect">
                        <a:avLst/>
                      </a:prstGeom>
                    </pic:spPr>
                  </pic:pic>
                </a:graphicData>
              </a:graphic>
              <wp14:sizeRelH relativeFrom="margin">
                <wp14:pctWidth>0</wp14:pctWidth>
              </wp14:sizeRelH>
              <wp14:sizeRelV relativeFrom="margin">
                <wp14:pctHeight>0</wp14:pctHeight>
              </wp14:sizeRelV>
            </wp:anchor>
          </w:drawing>
        </w:r>
        <w:r w:rsidR="00DE2AC7">
          <w:fldChar w:fldCharType="begin"/>
        </w:r>
        <w:r w:rsidR="00DE2AC7">
          <w:instrText xml:space="preserve"> PAGE   \* MERGEFORMAT </w:instrText>
        </w:r>
        <w:r w:rsidR="00DE2AC7">
          <w:fldChar w:fldCharType="separate"/>
        </w:r>
        <w:r w:rsidR="00DE2AC7">
          <w:rPr>
            <w:noProof/>
          </w:rPr>
          <w:t>2</w:t>
        </w:r>
        <w:r w:rsidR="00DE2AC7">
          <w:rPr>
            <w:noProof/>
          </w:rPr>
          <w:fldChar w:fldCharType="end"/>
        </w:r>
      </w:p>
    </w:sdtContent>
  </w:sdt>
  <w:p w14:paraId="35AE5196" w14:textId="77777777" w:rsidR="00502582" w:rsidRDefault="00502582" w:rsidP="0050258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357057"/>
      <w:docPartObj>
        <w:docPartGallery w:val="Page Numbers (Bottom of Page)"/>
        <w:docPartUnique/>
      </w:docPartObj>
    </w:sdtPr>
    <w:sdtEndPr>
      <w:rPr>
        <w:noProof/>
      </w:rPr>
    </w:sdtEndPr>
    <w:sdtContent>
      <w:p w14:paraId="213D176A" w14:textId="0EE12282" w:rsidR="00200987" w:rsidRDefault="00200987">
        <w:pPr>
          <w:pStyle w:val="Footer"/>
        </w:pPr>
        <w:r>
          <w:fldChar w:fldCharType="begin"/>
        </w:r>
        <w:r>
          <w:instrText xml:space="preserve"> PAGE   \* MERGEFORMAT </w:instrText>
        </w:r>
        <w:r>
          <w:fldChar w:fldCharType="separate"/>
        </w:r>
        <w:r>
          <w:rPr>
            <w:noProof/>
          </w:rPr>
          <w:t>2</w:t>
        </w:r>
        <w:r>
          <w:rPr>
            <w:noProof/>
          </w:rPr>
          <w:fldChar w:fldCharType="end"/>
        </w:r>
      </w:p>
    </w:sdtContent>
  </w:sdt>
  <w:p w14:paraId="644DE090" w14:textId="5FF05015" w:rsidR="009554B3" w:rsidRDefault="00955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AC5D3" w14:textId="77777777" w:rsidR="0089036D" w:rsidRDefault="0089036D" w:rsidP="00502582">
      <w:r>
        <w:separator/>
      </w:r>
    </w:p>
  </w:footnote>
  <w:footnote w:type="continuationSeparator" w:id="0">
    <w:p w14:paraId="611858B8" w14:textId="77777777" w:rsidR="0089036D" w:rsidRDefault="0089036D" w:rsidP="0050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11D3" w14:textId="77777777" w:rsidR="00D30D55" w:rsidRDefault="00D30D55">
    <w:pPr>
      <w:pStyle w:val="Header"/>
    </w:pPr>
    <w:r>
      <w:rPr>
        <w:noProof/>
      </w:rPr>
      <w:drawing>
        <wp:inline distT="0" distB="0" distL="0" distR="0" wp14:anchorId="3DD9A9EE" wp14:editId="6258F596">
          <wp:extent cx="2552700" cy="672184"/>
          <wp:effectExtent l="0" t="0" r="0" b="0"/>
          <wp:docPr id="37" name="Picture 3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P_Logo_Horizontal.jpg"/>
                  <pic:cNvPicPr/>
                </pic:nvPicPr>
                <pic:blipFill rotWithShape="1">
                  <a:blip r:embed="rId1">
                    <a:extLst>
                      <a:ext uri="{28A0092B-C50C-407E-A947-70E740481C1C}">
                        <a14:useLocalDpi xmlns:a14="http://schemas.microsoft.com/office/drawing/2010/main" val="0"/>
                      </a:ext>
                    </a:extLst>
                  </a:blip>
                  <a:srcRect l="6526" t="22885" r="4887" b="18856"/>
                  <a:stretch/>
                </pic:blipFill>
                <pic:spPr bwMode="auto">
                  <a:xfrm>
                    <a:off x="0" y="0"/>
                    <a:ext cx="2605986" cy="68621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154043"/>
      <w:docPartObj>
        <w:docPartGallery w:val="Page Numbers (Top of Page)"/>
        <w:docPartUnique/>
      </w:docPartObj>
    </w:sdtPr>
    <w:sdtEndPr>
      <w:rPr>
        <w:noProof/>
      </w:rPr>
    </w:sdtEndPr>
    <w:sdtContent>
      <w:p w14:paraId="15355D4C" w14:textId="7602FB13" w:rsidR="00200987" w:rsidRDefault="002009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C18630" w14:textId="79037891" w:rsidR="009554B3" w:rsidRDefault="00955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3446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1C66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8661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E6BA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D27D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9CF4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FA94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8609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986B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AEA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208F"/>
    <w:multiLevelType w:val="hybridMultilevel"/>
    <w:tmpl w:val="1A243C08"/>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7F420B4"/>
    <w:multiLevelType w:val="hybridMultilevel"/>
    <w:tmpl w:val="9E0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04664"/>
    <w:multiLevelType w:val="hybridMultilevel"/>
    <w:tmpl w:val="3F2A7E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DFB7DBF"/>
    <w:multiLevelType w:val="hybridMultilevel"/>
    <w:tmpl w:val="F216E8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E017F0A"/>
    <w:multiLevelType w:val="hybridMultilevel"/>
    <w:tmpl w:val="DC7AE1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83B1802"/>
    <w:multiLevelType w:val="hybridMultilevel"/>
    <w:tmpl w:val="B4D6E53E"/>
    <w:lvl w:ilvl="0" w:tplc="05C48966">
      <w:start w:val="1"/>
      <w:numFmt w:val="decimal"/>
      <w:pStyle w:val="NumberedListASSP"/>
      <w:lvlText w:val="%1."/>
      <w:lvlJc w:val="left"/>
      <w:pPr>
        <w:ind w:left="720" w:hanging="360"/>
      </w:pPr>
      <w:rPr>
        <w:rFonts w:ascii="Arial" w:hAnsi="Arial" w:hint="default"/>
        <w:b/>
        <w:i w:val="0"/>
        <w:color w:val="006437"/>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E4648"/>
    <w:multiLevelType w:val="hybridMultilevel"/>
    <w:tmpl w:val="C23E5BDC"/>
    <w:lvl w:ilvl="0" w:tplc="67409280">
      <w:start w:val="1"/>
      <w:numFmt w:val="bullet"/>
      <w:pStyle w:val="ListASSP"/>
      <w:lvlText w:val=""/>
      <w:lvlJc w:val="left"/>
      <w:pPr>
        <w:ind w:left="1080" w:hanging="360"/>
      </w:pPr>
      <w:rPr>
        <w:rFonts w:ascii="Wingdings" w:hAnsi="Wingdings" w:hint="default"/>
        <w:b/>
        <w:i w:val="0"/>
        <w:color w:val="006437"/>
        <w:spacing w:val="-1"/>
        <w:w w:val="10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E4228"/>
    <w:multiLevelType w:val="hybridMultilevel"/>
    <w:tmpl w:val="72E4EE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6D"/>
    <w:rsid w:val="00000737"/>
    <w:rsid w:val="000170F6"/>
    <w:rsid w:val="000478EB"/>
    <w:rsid w:val="000A276A"/>
    <w:rsid w:val="000C5F19"/>
    <w:rsid w:val="000D4A25"/>
    <w:rsid w:val="00135060"/>
    <w:rsid w:val="001A2E33"/>
    <w:rsid w:val="001C1A5A"/>
    <w:rsid w:val="00200987"/>
    <w:rsid w:val="00220F59"/>
    <w:rsid w:val="00303A7D"/>
    <w:rsid w:val="003F7D94"/>
    <w:rsid w:val="0040025F"/>
    <w:rsid w:val="00456D0B"/>
    <w:rsid w:val="00494FA0"/>
    <w:rsid w:val="00501BAB"/>
    <w:rsid w:val="00502582"/>
    <w:rsid w:val="00503BAD"/>
    <w:rsid w:val="005C54F2"/>
    <w:rsid w:val="0063128E"/>
    <w:rsid w:val="00680BE8"/>
    <w:rsid w:val="006C36A3"/>
    <w:rsid w:val="006F117F"/>
    <w:rsid w:val="00745CAA"/>
    <w:rsid w:val="00765DAF"/>
    <w:rsid w:val="0079398E"/>
    <w:rsid w:val="0079630B"/>
    <w:rsid w:val="007C1B66"/>
    <w:rsid w:val="0081138C"/>
    <w:rsid w:val="008648B6"/>
    <w:rsid w:val="0089036D"/>
    <w:rsid w:val="008D5974"/>
    <w:rsid w:val="008E71B9"/>
    <w:rsid w:val="009554B3"/>
    <w:rsid w:val="00970224"/>
    <w:rsid w:val="00997BD5"/>
    <w:rsid w:val="009C1D58"/>
    <w:rsid w:val="009D21D7"/>
    <w:rsid w:val="00AF1667"/>
    <w:rsid w:val="00AF41F2"/>
    <w:rsid w:val="00B97AC7"/>
    <w:rsid w:val="00C10717"/>
    <w:rsid w:val="00C748FE"/>
    <w:rsid w:val="00D00A56"/>
    <w:rsid w:val="00D0763C"/>
    <w:rsid w:val="00D30D55"/>
    <w:rsid w:val="00D443E2"/>
    <w:rsid w:val="00D94F59"/>
    <w:rsid w:val="00DA1F33"/>
    <w:rsid w:val="00DC395B"/>
    <w:rsid w:val="00DE2AC7"/>
    <w:rsid w:val="00E67B9B"/>
    <w:rsid w:val="00E77858"/>
    <w:rsid w:val="00EF567E"/>
    <w:rsid w:val="00F06721"/>
    <w:rsid w:val="00F729AF"/>
    <w:rsid w:val="00F9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A380A0"/>
  <w15:chartTrackingRefBased/>
  <w15:docId w15:val="{1AD36038-8CD8-4CCB-B4F0-D5004130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DAF"/>
    <w:rPr>
      <w:rFonts w:ascii="Arial" w:hAnsi="Arial"/>
      <w:sz w:val="20"/>
    </w:rPr>
  </w:style>
  <w:style w:type="paragraph" w:styleId="Heading1">
    <w:name w:val="heading 1"/>
    <w:next w:val="Normal"/>
    <w:link w:val="Heading1Char"/>
    <w:uiPriority w:val="9"/>
    <w:qFormat/>
    <w:rsid w:val="0089036D"/>
    <w:pPr>
      <w:keepNext/>
      <w:keepLines/>
      <w:outlineLvl w:val="0"/>
    </w:pPr>
    <w:rPr>
      <w:rFonts w:ascii="Myriad Pro" w:eastAsiaTheme="majorEastAsia" w:hAnsi="Myriad Pro" w:cstheme="majorBidi"/>
      <w:b/>
      <w:color w:val="44546A" w:themeColor="text2"/>
      <w:sz w:val="32"/>
      <w:szCs w:val="32"/>
    </w:rPr>
  </w:style>
  <w:style w:type="paragraph" w:styleId="Heading3">
    <w:name w:val="heading 3"/>
    <w:next w:val="Normal"/>
    <w:link w:val="Heading3Char"/>
    <w:uiPriority w:val="9"/>
    <w:unhideWhenUsed/>
    <w:qFormat/>
    <w:rsid w:val="0089036D"/>
    <w:pPr>
      <w:keepNext/>
      <w:keepLines/>
      <w:outlineLvl w:val="2"/>
    </w:pPr>
    <w:rPr>
      <w:rFonts w:ascii="Myriad Pro" w:eastAsiaTheme="majorEastAsia" w:hAnsi="Myriad Pro" w:cstheme="majorBidi"/>
      <w: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ASSP">
    <w:name w:val="Heading 1 ASSP"/>
    <w:basedOn w:val="DefaultParagraphFont"/>
    <w:qFormat/>
    <w:rsid w:val="0063128E"/>
    <w:rPr>
      <w:rFonts w:ascii="Arial" w:hAnsi="Arial"/>
      <w:b/>
      <w:bCs/>
      <w:color w:val="006400"/>
      <w:sz w:val="40"/>
    </w:rPr>
  </w:style>
  <w:style w:type="paragraph" w:customStyle="1" w:styleId="SubHeadASSP">
    <w:name w:val="Sub Head ASSP"/>
    <w:basedOn w:val="Normal"/>
    <w:qFormat/>
    <w:rsid w:val="00745CAA"/>
    <w:rPr>
      <w:sz w:val="32"/>
    </w:rPr>
  </w:style>
  <w:style w:type="character" w:styleId="Strong">
    <w:name w:val="Strong"/>
    <w:basedOn w:val="DefaultParagraphFont"/>
    <w:uiPriority w:val="22"/>
    <w:qFormat/>
    <w:rsid w:val="00DC395B"/>
    <w:rPr>
      <w:b/>
      <w:bCs/>
    </w:rPr>
  </w:style>
  <w:style w:type="paragraph" w:customStyle="1" w:styleId="ASSPArial">
    <w:name w:val="ASSP Arial"/>
    <w:basedOn w:val="Normal"/>
    <w:rsid w:val="00C748FE"/>
    <w:pPr>
      <w:tabs>
        <w:tab w:val="left" w:pos="3615"/>
      </w:tabs>
    </w:pPr>
    <w:rPr>
      <w:rFonts w:cs="Arial"/>
    </w:rPr>
  </w:style>
  <w:style w:type="character" w:customStyle="1" w:styleId="BodyCopy">
    <w:name w:val="Body Copy"/>
    <w:basedOn w:val="DefaultParagraphFont"/>
    <w:rsid w:val="009C1D58"/>
    <w:rPr>
      <w:rFonts w:ascii="Arial" w:hAnsi="Arial"/>
      <w:sz w:val="20"/>
    </w:rPr>
  </w:style>
  <w:style w:type="paragraph" w:styleId="Quote">
    <w:name w:val="Quote"/>
    <w:aliases w:val="Quote ASSP"/>
    <w:basedOn w:val="Normal"/>
    <w:next w:val="Normal"/>
    <w:link w:val="QuoteChar"/>
    <w:uiPriority w:val="29"/>
    <w:rsid w:val="00F06721"/>
    <w:pPr>
      <w:spacing w:before="200" w:after="160"/>
      <w:ind w:left="864" w:right="864"/>
      <w:jc w:val="center"/>
    </w:pPr>
    <w:rPr>
      <w:i/>
      <w:iCs/>
    </w:rPr>
  </w:style>
  <w:style w:type="character" w:customStyle="1" w:styleId="QuoteChar">
    <w:name w:val="Quote Char"/>
    <w:aliases w:val="Quote ASSP Char"/>
    <w:basedOn w:val="DefaultParagraphFont"/>
    <w:link w:val="Quote"/>
    <w:uiPriority w:val="29"/>
    <w:rsid w:val="00F06721"/>
    <w:rPr>
      <w:rFonts w:ascii="Arial" w:hAnsi="Arial"/>
      <w:i/>
      <w:iCs/>
      <w:sz w:val="20"/>
    </w:rPr>
  </w:style>
  <w:style w:type="paragraph" w:styleId="ListParagraph">
    <w:name w:val="List Paragraph"/>
    <w:basedOn w:val="Normal"/>
    <w:link w:val="ListParagraphChar"/>
    <w:uiPriority w:val="34"/>
    <w:qFormat/>
    <w:rsid w:val="00D0763C"/>
    <w:pPr>
      <w:ind w:left="720"/>
      <w:contextualSpacing/>
    </w:pPr>
  </w:style>
  <w:style w:type="table" w:styleId="TableGrid">
    <w:name w:val="Table Grid"/>
    <w:basedOn w:val="TableNormal"/>
    <w:uiPriority w:val="39"/>
    <w:rsid w:val="00135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9D21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4-Accent6">
    <w:name w:val="List Table 4 Accent 6"/>
    <w:basedOn w:val="TableNormal"/>
    <w:uiPriority w:val="49"/>
    <w:rsid w:val="009D21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D00A5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02582"/>
    <w:pPr>
      <w:tabs>
        <w:tab w:val="center" w:pos="4680"/>
        <w:tab w:val="right" w:pos="9360"/>
      </w:tabs>
    </w:pPr>
  </w:style>
  <w:style w:type="character" w:customStyle="1" w:styleId="HeaderChar">
    <w:name w:val="Header Char"/>
    <w:basedOn w:val="DefaultParagraphFont"/>
    <w:link w:val="Header"/>
    <w:uiPriority w:val="99"/>
    <w:rsid w:val="00502582"/>
    <w:rPr>
      <w:rFonts w:ascii="Arial" w:hAnsi="Arial"/>
      <w:sz w:val="20"/>
    </w:rPr>
  </w:style>
  <w:style w:type="paragraph" w:styleId="Footer">
    <w:name w:val="footer"/>
    <w:basedOn w:val="Normal"/>
    <w:link w:val="FooterChar"/>
    <w:uiPriority w:val="99"/>
    <w:unhideWhenUsed/>
    <w:rsid w:val="00502582"/>
    <w:pPr>
      <w:tabs>
        <w:tab w:val="center" w:pos="4680"/>
        <w:tab w:val="right" w:pos="9360"/>
      </w:tabs>
    </w:pPr>
  </w:style>
  <w:style w:type="character" w:customStyle="1" w:styleId="FooterChar">
    <w:name w:val="Footer Char"/>
    <w:basedOn w:val="DefaultParagraphFont"/>
    <w:link w:val="Footer"/>
    <w:uiPriority w:val="99"/>
    <w:rsid w:val="00502582"/>
    <w:rPr>
      <w:rFonts w:ascii="Arial" w:hAnsi="Arial"/>
      <w:sz w:val="20"/>
    </w:rPr>
  </w:style>
  <w:style w:type="paragraph" w:customStyle="1" w:styleId="ListASSP">
    <w:name w:val="List ASSP"/>
    <w:basedOn w:val="ListParagraph"/>
    <w:link w:val="ListASSPChar"/>
    <w:qFormat/>
    <w:rsid w:val="008E71B9"/>
    <w:pPr>
      <w:numPr>
        <w:numId w:val="11"/>
      </w:numPr>
      <w:spacing w:line="360" w:lineRule="auto"/>
    </w:pPr>
  </w:style>
  <w:style w:type="paragraph" w:customStyle="1" w:styleId="NumberedListASSP">
    <w:name w:val="Numbered List ASSP"/>
    <w:basedOn w:val="ListParagraph"/>
    <w:link w:val="NumberedListASSPChar"/>
    <w:qFormat/>
    <w:rsid w:val="008E71B9"/>
    <w:pPr>
      <w:numPr>
        <w:numId w:val="12"/>
      </w:numPr>
      <w:spacing w:line="360" w:lineRule="auto"/>
    </w:pPr>
  </w:style>
  <w:style w:type="character" w:customStyle="1" w:styleId="ListParagraphChar">
    <w:name w:val="List Paragraph Char"/>
    <w:basedOn w:val="DefaultParagraphFont"/>
    <w:link w:val="ListParagraph"/>
    <w:uiPriority w:val="34"/>
    <w:rsid w:val="008E71B9"/>
    <w:rPr>
      <w:rFonts w:ascii="Arial" w:hAnsi="Arial"/>
      <w:sz w:val="20"/>
    </w:rPr>
  </w:style>
  <w:style w:type="character" w:customStyle="1" w:styleId="ListASSPChar">
    <w:name w:val="List ASSP Char"/>
    <w:basedOn w:val="ListParagraphChar"/>
    <w:link w:val="ListASSP"/>
    <w:rsid w:val="008E71B9"/>
    <w:rPr>
      <w:rFonts w:ascii="Arial" w:hAnsi="Arial"/>
      <w:sz w:val="20"/>
    </w:rPr>
  </w:style>
  <w:style w:type="character" w:customStyle="1" w:styleId="NumberedListASSPChar">
    <w:name w:val="Numbered List ASSP Char"/>
    <w:basedOn w:val="ListParagraphChar"/>
    <w:link w:val="NumberedListASSP"/>
    <w:rsid w:val="008E71B9"/>
    <w:rPr>
      <w:rFonts w:ascii="Arial" w:hAnsi="Arial"/>
      <w:sz w:val="20"/>
    </w:rPr>
  </w:style>
  <w:style w:type="table" w:styleId="GridTable4-Accent2">
    <w:name w:val="Grid Table 4 Accent 2"/>
    <w:basedOn w:val="TableNormal"/>
    <w:uiPriority w:val="49"/>
    <w:rsid w:val="00EF567E"/>
    <w:tblPr>
      <w:tblStyleRowBandSize w:val="1"/>
      <w:tblStyleColBandSize w:val="1"/>
      <w:tblBorders>
        <w:top w:val="single" w:sz="4" w:space="0" w:color="B87998" w:themeColor="accent2" w:themeTint="99"/>
        <w:left w:val="single" w:sz="4" w:space="0" w:color="B87998" w:themeColor="accent2" w:themeTint="99"/>
        <w:bottom w:val="single" w:sz="4" w:space="0" w:color="B87998" w:themeColor="accent2" w:themeTint="99"/>
        <w:right w:val="single" w:sz="4" w:space="0" w:color="B87998" w:themeColor="accent2" w:themeTint="99"/>
        <w:insideH w:val="single" w:sz="4" w:space="0" w:color="B87998" w:themeColor="accent2" w:themeTint="99"/>
        <w:insideV w:val="single" w:sz="4" w:space="0" w:color="B87998" w:themeColor="accent2" w:themeTint="99"/>
      </w:tblBorders>
    </w:tblPr>
    <w:tblStylePr w:type="firstRow">
      <w:rPr>
        <w:b/>
        <w:bCs/>
        <w:color w:val="FFFFFF" w:themeColor="background1"/>
      </w:rPr>
      <w:tblPr/>
      <w:tcPr>
        <w:tcBorders>
          <w:top w:val="single" w:sz="4" w:space="0" w:color="6F3B55" w:themeColor="accent2"/>
          <w:left w:val="single" w:sz="4" w:space="0" w:color="6F3B55" w:themeColor="accent2"/>
          <w:bottom w:val="single" w:sz="4" w:space="0" w:color="6F3B55" w:themeColor="accent2"/>
          <w:right w:val="single" w:sz="4" w:space="0" w:color="6F3B55" w:themeColor="accent2"/>
          <w:insideH w:val="nil"/>
          <w:insideV w:val="nil"/>
        </w:tcBorders>
        <w:shd w:val="clear" w:color="auto" w:fill="6F3B55" w:themeFill="accent2"/>
      </w:tcPr>
    </w:tblStylePr>
    <w:tblStylePr w:type="lastRow">
      <w:rPr>
        <w:b/>
        <w:bCs/>
      </w:rPr>
      <w:tblPr/>
      <w:tcPr>
        <w:tcBorders>
          <w:top w:val="double" w:sz="4" w:space="0" w:color="6F3B55" w:themeColor="accent2"/>
        </w:tcBorders>
      </w:tcPr>
    </w:tblStylePr>
    <w:tblStylePr w:type="firstCol">
      <w:rPr>
        <w:b/>
        <w:bCs/>
      </w:rPr>
    </w:tblStylePr>
    <w:tblStylePr w:type="lastCol">
      <w:rPr>
        <w:b/>
        <w:bCs/>
      </w:rPr>
    </w:tblStylePr>
    <w:tblStylePr w:type="band1Vert">
      <w:tblPr/>
      <w:tcPr>
        <w:shd w:val="clear" w:color="auto" w:fill="E7D2DC" w:themeFill="accent2" w:themeFillTint="33"/>
      </w:tcPr>
    </w:tblStylePr>
    <w:tblStylePr w:type="band1Horz">
      <w:tblPr/>
      <w:tcPr>
        <w:shd w:val="clear" w:color="auto" w:fill="E7D2DC" w:themeFill="accent2" w:themeFillTint="33"/>
      </w:tcPr>
    </w:tblStylePr>
  </w:style>
  <w:style w:type="table" w:styleId="GridTable1Light-Accent2">
    <w:name w:val="Grid Table 1 Light Accent 2"/>
    <w:basedOn w:val="TableNormal"/>
    <w:uiPriority w:val="46"/>
    <w:rsid w:val="00EF567E"/>
    <w:tblPr>
      <w:tblStyleRowBandSize w:val="1"/>
      <w:tblStyleColBandSize w:val="1"/>
      <w:tblBorders>
        <w:top w:val="single" w:sz="4" w:space="0" w:color="CFA6BA" w:themeColor="accent2" w:themeTint="66"/>
        <w:left w:val="single" w:sz="4" w:space="0" w:color="CFA6BA" w:themeColor="accent2" w:themeTint="66"/>
        <w:bottom w:val="single" w:sz="4" w:space="0" w:color="CFA6BA" w:themeColor="accent2" w:themeTint="66"/>
        <w:right w:val="single" w:sz="4" w:space="0" w:color="CFA6BA" w:themeColor="accent2" w:themeTint="66"/>
        <w:insideH w:val="single" w:sz="4" w:space="0" w:color="CFA6BA" w:themeColor="accent2" w:themeTint="66"/>
        <w:insideV w:val="single" w:sz="4" w:space="0" w:color="CFA6BA" w:themeColor="accent2" w:themeTint="66"/>
      </w:tblBorders>
    </w:tblPr>
    <w:tblStylePr w:type="firstRow">
      <w:rPr>
        <w:b/>
        <w:bCs/>
      </w:rPr>
      <w:tblPr/>
      <w:tcPr>
        <w:tcBorders>
          <w:bottom w:val="single" w:sz="12" w:space="0" w:color="B87998" w:themeColor="accent2" w:themeTint="99"/>
        </w:tcBorders>
      </w:tcPr>
    </w:tblStylePr>
    <w:tblStylePr w:type="lastRow">
      <w:rPr>
        <w:b/>
        <w:bCs/>
      </w:rPr>
      <w:tblPr/>
      <w:tcPr>
        <w:tcBorders>
          <w:top w:val="double" w:sz="2" w:space="0" w:color="B87998"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EF567E"/>
    <w:tblPr>
      <w:tblStyleRowBandSize w:val="1"/>
      <w:tblStyleColBandSize w:val="1"/>
      <w:tblBorders>
        <w:top w:val="single" w:sz="2" w:space="0" w:color="B87998" w:themeColor="accent2" w:themeTint="99"/>
        <w:bottom w:val="single" w:sz="2" w:space="0" w:color="B87998" w:themeColor="accent2" w:themeTint="99"/>
        <w:insideH w:val="single" w:sz="2" w:space="0" w:color="B87998" w:themeColor="accent2" w:themeTint="99"/>
        <w:insideV w:val="single" w:sz="2" w:space="0" w:color="B87998" w:themeColor="accent2" w:themeTint="99"/>
      </w:tblBorders>
    </w:tblPr>
    <w:tblStylePr w:type="firstRow">
      <w:rPr>
        <w:b/>
        <w:bCs/>
      </w:rPr>
      <w:tblPr/>
      <w:tcPr>
        <w:tcBorders>
          <w:top w:val="nil"/>
          <w:bottom w:val="single" w:sz="12" w:space="0" w:color="B87998" w:themeColor="accent2" w:themeTint="99"/>
          <w:insideH w:val="nil"/>
          <w:insideV w:val="nil"/>
        </w:tcBorders>
        <w:shd w:val="clear" w:color="auto" w:fill="FFFFFF" w:themeFill="background1"/>
      </w:tcPr>
    </w:tblStylePr>
    <w:tblStylePr w:type="lastRow">
      <w:rPr>
        <w:b/>
        <w:bCs/>
      </w:rPr>
      <w:tblPr/>
      <w:tcPr>
        <w:tcBorders>
          <w:top w:val="double" w:sz="2" w:space="0" w:color="B8799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2DC" w:themeFill="accent2" w:themeFillTint="33"/>
      </w:tcPr>
    </w:tblStylePr>
    <w:tblStylePr w:type="band1Horz">
      <w:tblPr/>
      <w:tcPr>
        <w:shd w:val="clear" w:color="auto" w:fill="E7D2DC" w:themeFill="accent2" w:themeFillTint="33"/>
      </w:tcPr>
    </w:tblStylePr>
  </w:style>
  <w:style w:type="character" w:customStyle="1" w:styleId="Heading1Char">
    <w:name w:val="Heading 1 Char"/>
    <w:basedOn w:val="DefaultParagraphFont"/>
    <w:link w:val="Heading1"/>
    <w:uiPriority w:val="9"/>
    <w:rsid w:val="0089036D"/>
    <w:rPr>
      <w:rFonts w:ascii="Myriad Pro" w:eastAsiaTheme="majorEastAsia" w:hAnsi="Myriad Pro" w:cstheme="majorBidi"/>
      <w:b/>
      <w:color w:val="44546A" w:themeColor="text2"/>
      <w:sz w:val="32"/>
      <w:szCs w:val="32"/>
    </w:rPr>
  </w:style>
  <w:style w:type="character" w:customStyle="1" w:styleId="Heading3Char">
    <w:name w:val="Heading 3 Char"/>
    <w:basedOn w:val="DefaultParagraphFont"/>
    <w:link w:val="Heading3"/>
    <w:uiPriority w:val="9"/>
    <w:rsid w:val="0089036D"/>
    <w:rPr>
      <w:rFonts w:ascii="Myriad Pro" w:eastAsiaTheme="majorEastAsia" w:hAnsi="Myriad Pro" w:cstheme="majorBidi"/>
      <w:i/>
      <w:color w:val="44546A" w:themeColor="text2"/>
    </w:rPr>
  </w:style>
  <w:style w:type="paragraph" w:styleId="BalloonText">
    <w:name w:val="Balloon Text"/>
    <w:basedOn w:val="Normal"/>
    <w:link w:val="BalloonTextChar"/>
    <w:uiPriority w:val="99"/>
    <w:semiHidden/>
    <w:unhideWhenUsed/>
    <w:rsid w:val="00456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SSP">
      <a:dk1>
        <a:sysClr val="windowText" lastClr="000000"/>
      </a:dk1>
      <a:lt1>
        <a:sysClr val="window" lastClr="FFFFFF"/>
      </a:lt1>
      <a:dk2>
        <a:srgbClr val="44546A"/>
      </a:dk2>
      <a:lt2>
        <a:srgbClr val="E7E6E6"/>
      </a:lt2>
      <a:accent1>
        <a:srgbClr val="4472C4"/>
      </a:accent1>
      <a:accent2>
        <a:srgbClr val="6F3B55"/>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Janji Shallo</dc:creator>
  <cp:keywords/>
  <dc:description/>
  <cp:lastModifiedBy>Denisa Shallo</cp:lastModifiedBy>
  <cp:revision>3</cp:revision>
  <dcterms:created xsi:type="dcterms:W3CDTF">2020-06-09T16:52:00Z</dcterms:created>
  <dcterms:modified xsi:type="dcterms:W3CDTF">2020-08-27T17:40:00Z</dcterms:modified>
</cp:coreProperties>
</file>