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E352" w14:textId="024F69DD"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b/>
          <w:bCs/>
          <w:sz w:val="24"/>
        </w:rPr>
        <w:t>May 1</w:t>
      </w:r>
      <w:r>
        <w:rPr>
          <w:rFonts w:ascii="Times New Roman" w:hAnsi="Times New Roman" w:cs="Times New Roman"/>
          <w:b/>
          <w:bCs/>
          <w:sz w:val="24"/>
        </w:rPr>
        <w:t>4</w:t>
      </w:r>
      <w:r w:rsidRPr="001C0F18">
        <w:rPr>
          <w:rFonts w:ascii="Times New Roman" w:hAnsi="Times New Roman" w:cs="Times New Roman"/>
          <w:b/>
          <w:bCs/>
          <w:sz w:val="24"/>
        </w:rPr>
        <w:t>, 2026</w:t>
      </w:r>
      <w:r w:rsidRPr="001C0F18">
        <w:rPr>
          <w:rFonts w:ascii="Times New Roman" w:hAnsi="Times New Roman" w:cs="Times New Roman"/>
          <w:sz w:val="24"/>
        </w:rPr>
        <w:tab/>
      </w:r>
      <w:r w:rsidRPr="001C0F18">
        <w:rPr>
          <w:rFonts w:ascii="Times New Roman" w:hAnsi="Times New Roman" w:cs="Times New Roman"/>
          <w:sz w:val="24"/>
        </w:rPr>
        <w:tab/>
        <w:t> </w:t>
      </w:r>
    </w:p>
    <w:p w14:paraId="0699B036"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sz w:val="24"/>
        </w:rPr>
        <w:t> </w:t>
      </w:r>
    </w:p>
    <w:p w14:paraId="5109BEEA"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sz w:val="24"/>
        </w:rPr>
        <w:t> </w:t>
      </w:r>
    </w:p>
    <w:p w14:paraId="7DEDF2CB"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b/>
          <w:bCs/>
          <w:sz w:val="24"/>
        </w:rPr>
        <w:t>Statement for the Record: </w:t>
      </w:r>
      <w:r w:rsidRPr="001C0F18">
        <w:rPr>
          <w:rFonts w:ascii="Times New Roman" w:hAnsi="Times New Roman" w:cs="Times New Roman"/>
          <w:sz w:val="24"/>
        </w:rPr>
        <w:t>Hearing of May 13, 2026 </w:t>
      </w:r>
    </w:p>
    <w:p w14:paraId="2C884325"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sz w:val="24"/>
        </w:rPr>
        <w:t> </w:t>
      </w:r>
    </w:p>
    <w:p w14:paraId="02849D6A"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b/>
          <w:bCs/>
          <w:sz w:val="24"/>
        </w:rPr>
        <w:t>To:</w:t>
      </w:r>
      <w:r w:rsidRPr="001C0F18">
        <w:rPr>
          <w:rFonts w:ascii="Times New Roman" w:hAnsi="Times New Roman" w:cs="Times New Roman"/>
          <w:sz w:val="24"/>
        </w:rPr>
        <w:t> House Subcommittee on Workforce Protections </w:t>
      </w:r>
    </w:p>
    <w:p w14:paraId="34979D1D"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sz w:val="24"/>
        </w:rPr>
        <w:t> </w:t>
      </w:r>
    </w:p>
    <w:p w14:paraId="37731E74"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b/>
          <w:bCs/>
          <w:sz w:val="24"/>
        </w:rPr>
        <w:t>From:</w:t>
      </w:r>
      <w:r w:rsidRPr="001C0F18">
        <w:rPr>
          <w:rFonts w:ascii="Times New Roman" w:hAnsi="Times New Roman" w:cs="Times New Roman"/>
          <w:sz w:val="24"/>
        </w:rPr>
        <w:t> American Society of Safety Professionals (ASSP) </w:t>
      </w:r>
    </w:p>
    <w:p w14:paraId="56642C78"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sz w:val="24"/>
        </w:rPr>
        <w:t> </w:t>
      </w:r>
    </w:p>
    <w:p w14:paraId="5C0AD9C0"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b/>
          <w:bCs/>
          <w:sz w:val="24"/>
        </w:rPr>
        <w:t>Subject:</w:t>
      </w:r>
      <w:r w:rsidRPr="001C0F18">
        <w:rPr>
          <w:rFonts w:ascii="Times New Roman" w:hAnsi="Times New Roman" w:cs="Times New Roman"/>
          <w:sz w:val="24"/>
        </w:rPr>
        <w:t> Building a Safer Future: Private-Sector Strategies for Emerging Safety Issues </w:t>
      </w:r>
    </w:p>
    <w:p w14:paraId="275072A5" w14:textId="77777777" w:rsidR="001C0F18" w:rsidRPr="001C0F18" w:rsidRDefault="001C0F18" w:rsidP="001C0F18">
      <w:pPr>
        <w:jc w:val="both"/>
        <w:rPr>
          <w:rFonts w:ascii="Times New Roman" w:hAnsi="Times New Roman" w:cs="Times New Roman"/>
          <w:sz w:val="24"/>
        </w:rPr>
      </w:pPr>
      <w:r w:rsidRPr="001C0F18">
        <w:rPr>
          <w:rFonts w:ascii="Times New Roman" w:hAnsi="Times New Roman" w:cs="Times New Roman"/>
          <w:sz w:val="24"/>
        </w:rPr>
        <w:t> </w:t>
      </w:r>
    </w:p>
    <w:p w14:paraId="544AD9E4"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The American Society of Safety Professionals (ASSP) monitored the hearing today addressing “</w:t>
      </w:r>
      <w:r w:rsidRPr="001C0F18">
        <w:rPr>
          <w:rFonts w:ascii="Times New Roman" w:hAnsi="Times New Roman" w:cs="Times New Roman"/>
          <w:i/>
          <w:iCs/>
          <w:sz w:val="24"/>
        </w:rPr>
        <w:t>Building</w:t>
      </w:r>
      <w:r w:rsidRPr="001C0F18">
        <w:rPr>
          <w:rFonts w:ascii="Times New Roman" w:hAnsi="Times New Roman" w:cs="Times New Roman"/>
          <w:b/>
          <w:bCs/>
          <w:i/>
          <w:iCs/>
          <w:sz w:val="24"/>
        </w:rPr>
        <w:t> </w:t>
      </w:r>
      <w:r w:rsidRPr="001C0F18">
        <w:rPr>
          <w:rFonts w:ascii="Times New Roman" w:hAnsi="Times New Roman" w:cs="Times New Roman"/>
          <w:i/>
          <w:iCs/>
          <w:sz w:val="24"/>
        </w:rPr>
        <w:t>a Safer Future: Private-Sector Strategies for Emerging Safety Issues</w:t>
      </w:r>
      <w:r w:rsidRPr="001C0F18">
        <w:rPr>
          <w:rFonts w:ascii="Times New Roman" w:hAnsi="Times New Roman" w:cs="Times New Roman"/>
          <w:sz w:val="24"/>
        </w:rPr>
        <w:t>.” We</w:t>
      </w:r>
      <w:r w:rsidRPr="001C0F18">
        <w:rPr>
          <w:rFonts w:ascii="Times New Roman" w:hAnsi="Times New Roman" w:cs="Times New Roman"/>
          <w:b/>
          <w:bCs/>
          <w:sz w:val="24"/>
        </w:rPr>
        <w:t> </w:t>
      </w:r>
      <w:r w:rsidRPr="001C0F18">
        <w:rPr>
          <w:rFonts w:ascii="Times New Roman" w:hAnsi="Times New Roman" w:cs="Times New Roman"/>
          <w:sz w:val="24"/>
        </w:rPr>
        <w:t>appreciate the views and perspectives of the different panelists and how they believe occupational safety and health performance can be improved. </w:t>
      </w:r>
    </w:p>
    <w:p w14:paraId="5695D146"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4C8A5547" w14:textId="44098088"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xml:space="preserve">ASSP is pleased to submit this statement for the record regarding the testimony provided by the panelists on emerging workplace safety and health issues. As the world’s oldest global </w:t>
      </w:r>
      <w:r w:rsidR="00535192">
        <w:rPr>
          <w:rFonts w:ascii="Times New Roman" w:hAnsi="Times New Roman" w:cs="Times New Roman"/>
          <w:sz w:val="24"/>
        </w:rPr>
        <w:t xml:space="preserve">professional </w:t>
      </w:r>
      <w:r w:rsidRPr="001C0F18">
        <w:rPr>
          <w:rFonts w:ascii="Times New Roman" w:hAnsi="Times New Roman" w:cs="Times New Roman"/>
          <w:sz w:val="24"/>
        </w:rPr>
        <w:t>workplace safety and health organization, representing over 35,000 members, ASSP stands aligned with the urgent need to address evolving hazards and exposures through proactive, evidence-based strategies. </w:t>
      </w:r>
    </w:p>
    <w:p w14:paraId="71F65F61"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13B5FD3C"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To supplement the discussion on private-sector innovations and the reduction of workplace fatalities, injuries and illnesses, ASSP submits the following key priorities: </w:t>
      </w:r>
    </w:p>
    <w:p w14:paraId="47C096FA"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426CC6CB"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b/>
          <w:bCs/>
          <w:sz w:val="24"/>
        </w:rPr>
        <w:t>Prioritizing "SIF Leaders" and Hazard Controls</w:t>
      </w:r>
      <w:r w:rsidRPr="001C0F18">
        <w:rPr>
          <w:rFonts w:ascii="Times New Roman" w:hAnsi="Times New Roman" w:cs="Times New Roman"/>
          <w:sz w:val="24"/>
        </w:rPr>
        <w:t> </w:t>
      </w:r>
    </w:p>
    <w:p w14:paraId="621328A5"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140B260C"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While overall injury rates may fluctuate, rates of Serious Injuries and Fatalities (SIFs) remain a critical challenge. ASSP advocates for a strategic shift in messaging and methodology, focusing on "SIF leaders," the top hazards and precursors, for example, such as the "Fatal Four," that consistently lead to the most tragic outcomes. We believe that by operationalizing safety and health standards to target these specific high-risk areas, the private sector can move beyond passive observation to active risk assessment and remediation. There was additional discussion on voluntary national consensus standards and metrics. ASSP is the secretariat of the committee viewed as creating the most comprehensive occupational safety and health metric standard in the United States: </w:t>
      </w:r>
    </w:p>
    <w:p w14:paraId="0ABF679D"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6BF6AFEC"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i/>
          <w:iCs/>
          <w:sz w:val="24"/>
        </w:rPr>
        <w:t>ANSI/ASSP Z16.1-2022 Safety and Health Metrics and Performance Measures</w:t>
      </w:r>
      <w:r w:rsidRPr="001C0F18">
        <w:rPr>
          <w:rFonts w:ascii="Times New Roman" w:hAnsi="Times New Roman" w:cs="Times New Roman"/>
          <w:sz w:val="24"/>
        </w:rPr>
        <w:t> </w:t>
      </w:r>
    </w:p>
    <w:p w14:paraId="71C7F248"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1EA6B69C"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ASSP would be pleased to provide a copy of the standard to the Subcommittee members if they would like to review its contents. </w:t>
      </w:r>
    </w:p>
    <w:p w14:paraId="7CB83B49"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77C97D6B" w14:textId="77777777" w:rsidR="001C0F18" w:rsidRDefault="001C0F18" w:rsidP="001C0F18">
      <w:pPr>
        <w:rPr>
          <w:rFonts w:ascii="Times New Roman" w:hAnsi="Times New Roman" w:cs="Times New Roman"/>
          <w:b/>
          <w:bCs/>
          <w:sz w:val="24"/>
        </w:rPr>
      </w:pPr>
    </w:p>
    <w:p w14:paraId="42C75DB3" w14:textId="3B2E3C3B" w:rsidR="001C0F18" w:rsidRPr="001C0F18" w:rsidRDefault="001C0F18" w:rsidP="001C0F18">
      <w:pPr>
        <w:rPr>
          <w:rFonts w:ascii="Times New Roman" w:hAnsi="Times New Roman" w:cs="Times New Roman"/>
          <w:sz w:val="24"/>
        </w:rPr>
      </w:pPr>
      <w:r w:rsidRPr="001C0F18">
        <w:rPr>
          <w:rFonts w:ascii="Times New Roman" w:hAnsi="Times New Roman" w:cs="Times New Roman"/>
          <w:b/>
          <w:bCs/>
          <w:sz w:val="24"/>
        </w:rPr>
        <w:lastRenderedPageBreak/>
        <w:t>Operationalizing Standards through Collaboration</w:t>
      </w:r>
      <w:r w:rsidRPr="001C0F18">
        <w:rPr>
          <w:rFonts w:ascii="Times New Roman" w:hAnsi="Times New Roman" w:cs="Times New Roman"/>
          <w:sz w:val="24"/>
        </w:rPr>
        <w:t> </w:t>
      </w:r>
    </w:p>
    <w:p w14:paraId="7562715E"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5CA41F14" w14:textId="53A9A1B6"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One of the panelists noted ongoing work addressing control of hazardous energy lockout/tagout. Our </w:t>
      </w:r>
      <w:hyperlink r:id="rId7" w:tgtFrame="_blank" w:history="1">
        <w:r w:rsidRPr="001C0F18">
          <w:rPr>
            <w:rStyle w:val="Hyperlink"/>
            <w:rFonts w:ascii="Times New Roman" w:hAnsi="Times New Roman" w:cs="Times New Roman"/>
            <w:sz w:val="24"/>
          </w:rPr>
          <w:t>ANSI/ASSP Z244.1 Standard</w:t>
        </w:r>
      </w:hyperlink>
      <w:r w:rsidRPr="001C0F18">
        <w:rPr>
          <w:rFonts w:ascii="Times New Roman" w:hAnsi="Times New Roman" w:cs="Times New Roman"/>
          <w:sz w:val="24"/>
        </w:rPr>
        <w:t xml:space="preserve"> was specifically included. There is also a standard addressing </w:t>
      </w:r>
      <w:r w:rsidR="00535192">
        <w:rPr>
          <w:rFonts w:ascii="Times New Roman" w:hAnsi="Times New Roman" w:cs="Times New Roman"/>
          <w:sz w:val="24"/>
        </w:rPr>
        <w:t>l</w:t>
      </w:r>
      <w:r w:rsidRPr="001C0F18">
        <w:rPr>
          <w:rFonts w:ascii="Times New Roman" w:hAnsi="Times New Roman" w:cs="Times New Roman"/>
          <w:sz w:val="24"/>
        </w:rPr>
        <w:t>ock</w:t>
      </w:r>
      <w:r w:rsidR="00535192">
        <w:rPr>
          <w:rFonts w:ascii="Times New Roman" w:hAnsi="Times New Roman" w:cs="Times New Roman"/>
          <w:sz w:val="24"/>
        </w:rPr>
        <w:t>o</w:t>
      </w:r>
      <w:r w:rsidRPr="001C0F18">
        <w:rPr>
          <w:rFonts w:ascii="Times New Roman" w:hAnsi="Times New Roman" w:cs="Times New Roman"/>
          <w:sz w:val="24"/>
        </w:rPr>
        <w:t>ut</w:t>
      </w:r>
      <w:r w:rsidR="00535192">
        <w:rPr>
          <w:rFonts w:ascii="Times New Roman" w:hAnsi="Times New Roman" w:cs="Times New Roman"/>
          <w:sz w:val="24"/>
        </w:rPr>
        <w:t>/t</w:t>
      </w:r>
      <w:r w:rsidRPr="001C0F18">
        <w:rPr>
          <w:rFonts w:ascii="Times New Roman" w:hAnsi="Times New Roman" w:cs="Times New Roman"/>
          <w:sz w:val="24"/>
        </w:rPr>
        <w:t>ag</w:t>
      </w:r>
      <w:r w:rsidR="00535192">
        <w:rPr>
          <w:rFonts w:ascii="Times New Roman" w:hAnsi="Times New Roman" w:cs="Times New Roman"/>
          <w:sz w:val="24"/>
        </w:rPr>
        <w:t>o</w:t>
      </w:r>
      <w:r w:rsidRPr="001C0F18">
        <w:rPr>
          <w:rFonts w:ascii="Times New Roman" w:hAnsi="Times New Roman" w:cs="Times New Roman"/>
          <w:sz w:val="24"/>
        </w:rPr>
        <w:t>ut (LOTO) specific to construction and demolition operations: </w:t>
      </w:r>
      <w:hyperlink r:id="rId8" w:tgtFrame="_blank" w:history="1">
        <w:r w:rsidRPr="001C0F18">
          <w:rPr>
            <w:rStyle w:val="Hyperlink"/>
            <w:rFonts w:ascii="Times New Roman" w:hAnsi="Times New Roman" w:cs="Times New Roman"/>
            <w:sz w:val="24"/>
          </w:rPr>
          <w:t>ANSI/ASSP A10.44.</w:t>
        </w:r>
      </w:hyperlink>
      <w:r w:rsidRPr="001C0F18">
        <w:rPr>
          <w:rFonts w:ascii="Times New Roman" w:hAnsi="Times New Roman" w:cs="Times New Roman"/>
          <w:sz w:val="24"/>
        </w:rPr>
        <w:t> </w:t>
      </w:r>
    </w:p>
    <w:p w14:paraId="1F492CE4"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554BEC83" w14:textId="3389EA64"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In addition, ASSP recently launched its </w:t>
      </w:r>
      <w:hyperlink r:id="rId9" w:tgtFrame="_blank" w:history="1">
        <w:r w:rsidRPr="001C0F18">
          <w:rPr>
            <w:rStyle w:val="Hyperlink"/>
            <w:rFonts w:ascii="Times New Roman" w:hAnsi="Times New Roman" w:cs="Times New Roman"/>
            <w:sz w:val="24"/>
          </w:rPr>
          <w:t>Standards-Based User Groups (SBUGs)</w:t>
        </w:r>
      </w:hyperlink>
      <w:r w:rsidRPr="001C0F18">
        <w:rPr>
          <w:rFonts w:ascii="Times New Roman" w:hAnsi="Times New Roman" w:cs="Times New Roman"/>
          <w:sz w:val="24"/>
        </w:rPr>
        <w:t xml:space="preserve"> to bridge the gap </w:t>
      </w:r>
      <w:r w:rsidR="00535192" w:rsidRPr="00535192">
        <w:rPr>
          <w:rFonts w:ascii="Times New Roman" w:hAnsi="Times New Roman" w:cs="Times New Roman"/>
          <w:sz w:val="24"/>
        </w:rPr>
        <w:t>between regulatory theory and operational reality. These collaborative, industry-led networks allow safety and health professionals to move beyond compliance into practical and timely remediation strategies. Control of hazardous energy and LOTO is a specific ASSP SBUG. We stand ready to provide technical assistance to the private and public sector of updated methods through our SBUGs.</w:t>
      </w:r>
    </w:p>
    <w:p w14:paraId="5CBD3495"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61970D8C"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The Society would be pleased to provide Subcommittee members with a copy of these standards if they would like to review the technical contents of these respected and widely used documents. </w:t>
      </w:r>
    </w:p>
    <w:p w14:paraId="7AEF9064"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5383590B"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b/>
          <w:bCs/>
          <w:sz w:val="24"/>
        </w:rPr>
        <w:t>Occupational Health and Safety and Health Management Systems</w:t>
      </w:r>
      <w:r w:rsidRPr="001C0F18">
        <w:rPr>
          <w:rFonts w:ascii="Times New Roman" w:hAnsi="Times New Roman" w:cs="Times New Roman"/>
          <w:sz w:val="24"/>
        </w:rPr>
        <w:t> </w:t>
      </w:r>
    </w:p>
    <w:p w14:paraId="70FBD9A1"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08D8DF24"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ASSP was pleased to see the panelists understand and appreciate the need to implement effective management systems addressing occupational safety and health. ASSP is viewed as the global leader on this issue as the Society publishes occupational safety and health management systems standards addressing a wide range of industries. This includes general industry in addition to construction and demolition operations. We do recommend the implementation of the applicable national consensus standards (such as ANSI/ASSP Z10, ANSI/ASSP/ISO 45001 and the ANSI/ASSP A10.1 Standards) directly into business and organizational operating systems. This initiative ensures that safety and health are treated not as a standalone compliance metric, but as a core driver of operational excellence and business strategy. </w:t>
      </w:r>
    </w:p>
    <w:p w14:paraId="02F5200E"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10DB6080"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b/>
          <w:bCs/>
          <w:sz w:val="24"/>
        </w:rPr>
        <w:t>Integrating AI and Emerging Technology</w:t>
      </w:r>
      <w:r w:rsidRPr="001C0F18">
        <w:rPr>
          <w:rFonts w:ascii="Times New Roman" w:hAnsi="Times New Roman" w:cs="Times New Roman"/>
          <w:sz w:val="24"/>
        </w:rPr>
        <w:t> </w:t>
      </w:r>
    </w:p>
    <w:p w14:paraId="4B11D6CF"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066A988C"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As highlighted in our 2026 AI Taskforce white paper, </w:t>
      </w:r>
      <w:hyperlink r:id="rId10" w:tgtFrame="_blank" w:history="1">
        <w:r w:rsidRPr="001C0F18">
          <w:rPr>
            <w:rStyle w:val="Hyperlink"/>
            <w:rFonts w:ascii="Times New Roman" w:hAnsi="Times New Roman" w:cs="Times New Roman"/>
            <w:i/>
            <w:iCs/>
            <w:sz w:val="24"/>
          </w:rPr>
          <w:t>AI and the Evolving Role of EHS Professionals</w:t>
        </w:r>
        <w:r w:rsidRPr="001C0F18">
          <w:rPr>
            <w:rStyle w:val="Hyperlink"/>
            <w:rFonts w:ascii="Times New Roman" w:hAnsi="Times New Roman" w:cs="Times New Roman"/>
            <w:sz w:val="24"/>
          </w:rPr>
          <w:t>,</w:t>
        </w:r>
      </w:hyperlink>
      <w:r w:rsidRPr="001C0F18">
        <w:rPr>
          <w:rFonts w:ascii="Times New Roman" w:hAnsi="Times New Roman" w:cs="Times New Roman"/>
          <w:sz w:val="24"/>
        </w:rPr>
        <w:t> technology must serve as a partner to the safety and health profession. We support the integration of artificial intelligence for predictive risk modeling and real-time hazard monitoring, provided these tools are implemented with a focus on worker trust, transparency and human-centric design. </w:t>
      </w:r>
    </w:p>
    <w:p w14:paraId="426AE210"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196F6A4A"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b/>
          <w:bCs/>
          <w:sz w:val="24"/>
        </w:rPr>
        <w:t>Health as Foundational Infrastructure</w:t>
      </w:r>
      <w:r w:rsidRPr="001C0F18">
        <w:rPr>
          <w:rFonts w:ascii="Times New Roman" w:hAnsi="Times New Roman" w:cs="Times New Roman"/>
          <w:sz w:val="24"/>
        </w:rPr>
        <w:t> </w:t>
      </w:r>
    </w:p>
    <w:p w14:paraId="624D50A1"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4B1B0FB9"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True workplace safety and health require a Total Worker Health® approach. Our </w:t>
      </w:r>
      <w:hyperlink r:id="rId11" w:tgtFrame="_blank" w:history="1">
        <w:r w:rsidRPr="001C0F18">
          <w:rPr>
            <w:rStyle w:val="Hyperlink"/>
            <w:rFonts w:ascii="Times New Roman" w:hAnsi="Times New Roman" w:cs="Times New Roman"/>
            <w:sz w:val="24"/>
          </w:rPr>
          <w:t>2026 Corporate Listening Tour</w:t>
        </w:r>
      </w:hyperlink>
      <w:r w:rsidRPr="001C0F18">
        <w:rPr>
          <w:rFonts w:ascii="Times New Roman" w:hAnsi="Times New Roman" w:cs="Times New Roman"/>
          <w:sz w:val="24"/>
        </w:rPr>
        <w:t> confirmed that workforce stability, mental health and psychological safety are foundational to a productive workplace. We urge the Subcommittee to recognize that worker well-</w:t>
      </w:r>
      <w:r w:rsidRPr="001C0F18">
        <w:rPr>
          <w:rFonts w:ascii="Times New Roman" w:hAnsi="Times New Roman" w:cs="Times New Roman"/>
          <w:sz w:val="24"/>
        </w:rPr>
        <w:lastRenderedPageBreak/>
        <w:t>being is not a "soft" secondary concern, but essential infrastructure for a resilient and safe American workforce. </w:t>
      </w:r>
    </w:p>
    <w:p w14:paraId="683700E0"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212974F5"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The Society is also an active partner of the </w:t>
      </w:r>
      <w:hyperlink r:id="rId12" w:tgtFrame="_blank" w:history="1">
        <w:r w:rsidRPr="001C0F18">
          <w:rPr>
            <w:rStyle w:val="Hyperlink"/>
            <w:rFonts w:ascii="Times New Roman" w:hAnsi="Times New Roman" w:cs="Times New Roman"/>
            <w:sz w:val="24"/>
          </w:rPr>
          <w:t>Workplace EHS Coalition.</w:t>
        </w:r>
      </w:hyperlink>
      <w:r w:rsidRPr="001C0F18">
        <w:rPr>
          <w:rFonts w:ascii="Times New Roman" w:hAnsi="Times New Roman" w:cs="Times New Roman"/>
          <w:sz w:val="24"/>
        </w:rPr>
        <w:t> The coalition is dedicated to improving occupational safety and health by significantly reducing SIFs</w:t>
      </w:r>
      <w:r w:rsidRPr="001C0F18">
        <w:rPr>
          <w:rFonts w:ascii="Times New Roman" w:hAnsi="Times New Roman" w:cs="Times New Roman"/>
          <w:b/>
          <w:bCs/>
          <w:sz w:val="24"/>
        </w:rPr>
        <w:t> </w:t>
      </w:r>
      <w:r w:rsidRPr="001C0F18">
        <w:rPr>
          <w:rFonts w:ascii="Times New Roman" w:hAnsi="Times New Roman" w:cs="Times New Roman"/>
          <w:sz w:val="24"/>
        </w:rPr>
        <w:t>while strengthening the organizational bottom line. We believe our core principles offer valuable insights for Subcommittee members and stakeholders committed to workplace safety. </w:t>
      </w:r>
    </w:p>
    <w:p w14:paraId="4E789DD7"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044C1BD9"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ASSP remains committed to serving as a trusted advisor to both industry and government. We look forward to continuing our work with the Subcommittee to ensure every worker returns home safely at the end of their shift. Please feel free to contact ASSP if we can provide further information or copies of the American National Standards cited in our statement. </w:t>
      </w:r>
    </w:p>
    <w:p w14:paraId="76D50608"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65555591"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Respectfully submitted, </w:t>
      </w:r>
    </w:p>
    <w:p w14:paraId="15C094D6"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181AA492"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The American Society of Safety Professionals (ASSP) </w:t>
      </w:r>
    </w:p>
    <w:p w14:paraId="51282BD0"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Park Ridge, IL </w:t>
      </w:r>
    </w:p>
    <w:p w14:paraId="0D259BF0"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76DC03B3"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7186EF19"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w:t>
      </w:r>
    </w:p>
    <w:p w14:paraId="608F82B3"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b/>
          <w:bCs/>
          <w:sz w:val="24"/>
          <w:u w:val="single"/>
        </w:rPr>
        <w:t>ASSP Contact</w:t>
      </w:r>
      <w:r w:rsidRPr="001C0F18">
        <w:rPr>
          <w:rFonts w:ascii="Times New Roman" w:hAnsi="Times New Roman" w:cs="Times New Roman"/>
          <w:sz w:val="24"/>
        </w:rPr>
        <w:t> </w:t>
      </w:r>
    </w:p>
    <w:p w14:paraId="1DD223CE" w14:textId="36F6F553"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 Dawn Glossa </w:t>
      </w:r>
    </w:p>
    <w:p w14:paraId="21B45EE5"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American Society of Safety Professionals </w:t>
      </w:r>
    </w:p>
    <w:p w14:paraId="1FA92E7E"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Vice President, Communications and Advocacy </w:t>
      </w:r>
    </w:p>
    <w:p w14:paraId="38694D33"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520 N. Northwest Hwy | Park Ridge,  </w:t>
      </w:r>
    </w:p>
    <w:p w14:paraId="3AC3648F"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Cell: 708-674-8761 </w:t>
      </w:r>
    </w:p>
    <w:p w14:paraId="74F5A347" w14:textId="77777777" w:rsidR="001C0F18" w:rsidRPr="001C0F18" w:rsidRDefault="001C0F18" w:rsidP="001C0F18">
      <w:pPr>
        <w:rPr>
          <w:rFonts w:ascii="Times New Roman" w:hAnsi="Times New Roman" w:cs="Times New Roman"/>
          <w:sz w:val="24"/>
        </w:rPr>
      </w:pPr>
      <w:r w:rsidRPr="001C0F18">
        <w:rPr>
          <w:rFonts w:ascii="Times New Roman" w:hAnsi="Times New Roman" w:cs="Times New Roman"/>
          <w:sz w:val="24"/>
        </w:rPr>
        <w:t>DGlossa@assp.org </w:t>
      </w:r>
    </w:p>
    <w:p w14:paraId="09C42176" w14:textId="75084C65" w:rsidR="00AF3C99" w:rsidRPr="008E603D" w:rsidRDefault="00AF3C99" w:rsidP="001C0F18">
      <w:pPr>
        <w:rPr>
          <w:rFonts w:ascii="Times New Roman" w:hAnsi="Times New Roman" w:cs="Times New Roman"/>
          <w:sz w:val="24"/>
        </w:rPr>
      </w:pPr>
    </w:p>
    <w:sectPr w:rsidR="00AF3C99" w:rsidRPr="008E603D" w:rsidSect="00F729AF">
      <w:headerReference w:type="even" r:id="rId13"/>
      <w:footerReference w:type="default" r:id="rId14"/>
      <w:headerReference w:type="first" r:id="rId15"/>
      <w:footerReference w:type="first" r:id="rId16"/>
      <w:pgSz w:w="12240" w:h="15840"/>
      <w:pgMar w:top="2520" w:right="1080" w:bottom="1440" w:left="1080" w:header="1008" w:footer="129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858C" w14:textId="77777777" w:rsidR="004E09F7" w:rsidRDefault="004E09F7" w:rsidP="00502582">
      <w:r>
        <w:separator/>
      </w:r>
    </w:p>
  </w:endnote>
  <w:endnote w:type="continuationSeparator" w:id="0">
    <w:p w14:paraId="3138127C" w14:textId="77777777" w:rsidR="004E09F7" w:rsidRDefault="004E09F7" w:rsidP="0050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7827"/>
      <w:docPartObj>
        <w:docPartGallery w:val="Page Numbers (Bottom of Page)"/>
        <w:docPartUnique/>
      </w:docPartObj>
    </w:sdtPr>
    <w:sdtEndPr>
      <w:rPr>
        <w:noProof/>
      </w:rPr>
    </w:sdtEndPr>
    <w:sdtContent>
      <w:p w14:paraId="05013224" w14:textId="3D335DDD" w:rsidR="005F105E" w:rsidRDefault="005F10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C7FFC" w14:textId="536957E4" w:rsidR="005F105E" w:rsidRDefault="005F105E" w:rsidP="0050258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DE996AD" w14:paraId="678C61FF" w14:textId="77777777" w:rsidTr="5DE996AD">
      <w:trPr>
        <w:trHeight w:val="300"/>
      </w:trPr>
      <w:tc>
        <w:tcPr>
          <w:tcW w:w="3360" w:type="dxa"/>
        </w:tcPr>
        <w:p w14:paraId="2CD709A4" w14:textId="1AA69F8B" w:rsidR="5DE996AD" w:rsidRDefault="5DE996AD" w:rsidP="5DE996AD">
          <w:pPr>
            <w:pStyle w:val="Header"/>
            <w:ind w:left="-115"/>
          </w:pPr>
        </w:p>
      </w:tc>
      <w:tc>
        <w:tcPr>
          <w:tcW w:w="3360" w:type="dxa"/>
        </w:tcPr>
        <w:p w14:paraId="4EA359A5" w14:textId="2D46B5C9" w:rsidR="5DE996AD" w:rsidRDefault="5DE996AD" w:rsidP="5DE996AD">
          <w:pPr>
            <w:pStyle w:val="Header"/>
            <w:jc w:val="center"/>
          </w:pPr>
        </w:p>
      </w:tc>
      <w:tc>
        <w:tcPr>
          <w:tcW w:w="3360" w:type="dxa"/>
        </w:tcPr>
        <w:p w14:paraId="3B440772" w14:textId="130ABEAF" w:rsidR="5DE996AD" w:rsidRDefault="5DE996AD" w:rsidP="5DE996AD">
          <w:pPr>
            <w:pStyle w:val="Header"/>
            <w:ind w:right="-115"/>
            <w:jc w:val="right"/>
          </w:pPr>
        </w:p>
      </w:tc>
    </w:tr>
  </w:tbl>
  <w:p w14:paraId="4EEEF687" w14:textId="5D9659D6" w:rsidR="003518AE" w:rsidRDefault="00351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2D4D" w14:textId="77777777" w:rsidR="004E09F7" w:rsidRDefault="004E09F7" w:rsidP="00502582">
      <w:r>
        <w:separator/>
      </w:r>
    </w:p>
  </w:footnote>
  <w:footnote w:type="continuationSeparator" w:id="0">
    <w:p w14:paraId="77AE8A69" w14:textId="77777777" w:rsidR="004E09F7" w:rsidRDefault="004E09F7" w:rsidP="0050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9294" w14:textId="4D8B8D5B" w:rsidR="005F105E" w:rsidRDefault="004E09F7">
    <w:pPr>
      <w:pStyle w:val="Header"/>
    </w:pPr>
    <w:r>
      <w:rPr>
        <w:noProof/>
      </w:rPr>
      <w:pict w14:anchorId="7DBAB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098954" o:spid="_x0000_s1026" type="#_x0000_t75" style="position:absolute;margin-left:0;margin-top:0;width:612pt;height:11in;z-index:-251658239;mso-position-horizontal:center;mso-position-horizontal-relative:margin;mso-position-vertical:center;mso-position-vertical-relative:margin" o:allowincell="f">
          <v:imagedata r:id="rId1" o:title="ASSP_Letterhead_191114-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4785" w14:textId="3E9886E9" w:rsidR="005F105E" w:rsidRDefault="004E09F7">
    <w:pPr>
      <w:pStyle w:val="Header"/>
    </w:pPr>
    <w:r>
      <w:rPr>
        <w:noProof/>
      </w:rPr>
      <w:pict w14:anchorId="7C7C7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098953" o:spid="_x0000_s1025" type="#_x0000_t75" style="position:absolute;margin-left:0;margin-top:0;width:612pt;height:11in;z-index:-251658240;mso-position-horizontal:center;mso-position-horizontal-relative:page;mso-position-vertical:center;mso-position-vertical-relative:page" o:allowincell="f">
          <v:imagedata r:id="rId1" o:title="ASSP_Letterhead_191114-01"/>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3446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C66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8661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CE6B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D27D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9CF4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FA94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8609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986B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7AEA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410"/>
    <w:multiLevelType w:val="hybridMultilevel"/>
    <w:tmpl w:val="117C314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560E9"/>
    <w:multiLevelType w:val="hybridMultilevel"/>
    <w:tmpl w:val="0FF8E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92BB3"/>
    <w:multiLevelType w:val="hybridMultilevel"/>
    <w:tmpl w:val="C912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61D89"/>
    <w:multiLevelType w:val="hybridMultilevel"/>
    <w:tmpl w:val="8A2A0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17529"/>
    <w:multiLevelType w:val="hybridMultilevel"/>
    <w:tmpl w:val="0DB42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6270E"/>
    <w:multiLevelType w:val="hybridMultilevel"/>
    <w:tmpl w:val="AB544EAA"/>
    <w:lvl w:ilvl="0" w:tplc="FB78F85C">
      <w:start w:val="1"/>
      <w:numFmt w:val="decimal"/>
      <w:lvlText w:val="%1."/>
      <w:lvlJc w:val="left"/>
      <w:pPr>
        <w:ind w:left="820" w:hanging="360"/>
      </w:pPr>
      <w:rPr>
        <w:rFonts w:hint="default"/>
        <w:b/>
        <w:color w:val="006337"/>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580046D4"/>
    <w:multiLevelType w:val="hybridMultilevel"/>
    <w:tmpl w:val="4D449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B1802"/>
    <w:multiLevelType w:val="hybridMultilevel"/>
    <w:tmpl w:val="B4D6E53E"/>
    <w:lvl w:ilvl="0" w:tplc="05C48966">
      <w:start w:val="1"/>
      <w:numFmt w:val="decimal"/>
      <w:pStyle w:val="NumberedListASSP"/>
      <w:lvlText w:val="%1."/>
      <w:lvlJc w:val="left"/>
      <w:pPr>
        <w:ind w:left="720" w:hanging="360"/>
      </w:pPr>
      <w:rPr>
        <w:rFonts w:ascii="Arial" w:hAnsi="Arial" w:hint="default"/>
        <w:b/>
        <w:i w:val="0"/>
        <w:color w:val="006437"/>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E4648"/>
    <w:multiLevelType w:val="hybridMultilevel"/>
    <w:tmpl w:val="C23E5BDC"/>
    <w:lvl w:ilvl="0" w:tplc="67409280">
      <w:start w:val="1"/>
      <w:numFmt w:val="bullet"/>
      <w:pStyle w:val="ListASSP"/>
      <w:lvlText w:val=""/>
      <w:lvlJc w:val="left"/>
      <w:pPr>
        <w:ind w:left="720" w:hanging="360"/>
      </w:pPr>
      <w:rPr>
        <w:rFonts w:ascii="Wingdings" w:hAnsi="Wingdings" w:hint="default"/>
        <w:b/>
        <w:i w:val="0"/>
        <w:color w:val="006437"/>
        <w:spacing w:val="-1"/>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661718">
    <w:abstractNumId w:val="9"/>
  </w:num>
  <w:num w:numId="2" w16cid:durableId="1105149888">
    <w:abstractNumId w:val="7"/>
  </w:num>
  <w:num w:numId="3" w16cid:durableId="1959801227">
    <w:abstractNumId w:val="6"/>
  </w:num>
  <w:num w:numId="4" w16cid:durableId="2128232824">
    <w:abstractNumId w:val="5"/>
  </w:num>
  <w:num w:numId="5" w16cid:durableId="608589329">
    <w:abstractNumId w:val="4"/>
  </w:num>
  <w:num w:numId="6" w16cid:durableId="1902253922">
    <w:abstractNumId w:val="8"/>
  </w:num>
  <w:num w:numId="7" w16cid:durableId="1978484030">
    <w:abstractNumId w:val="3"/>
  </w:num>
  <w:num w:numId="8" w16cid:durableId="406803589">
    <w:abstractNumId w:val="2"/>
  </w:num>
  <w:num w:numId="9" w16cid:durableId="705450806">
    <w:abstractNumId w:val="1"/>
  </w:num>
  <w:num w:numId="10" w16cid:durableId="974064196">
    <w:abstractNumId w:val="0"/>
  </w:num>
  <w:num w:numId="11" w16cid:durableId="945187419">
    <w:abstractNumId w:val="18"/>
  </w:num>
  <w:num w:numId="12" w16cid:durableId="55789511">
    <w:abstractNumId w:val="17"/>
  </w:num>
  <w:num w:numId="13" w16cid:durableId="850686340">
    <w:abstractNumId w:val="12"/>
  </w:num>
  <w:num w:numId="14" w16cid:durableId="270288645">
    <w:abstractNumId w:val="16"/>
  </w:num>
  <w:num w:numId="15" w16cid:durableId="2061005446">
    <w:abstractNumId w:val="10"/>
  </w:num>
  <w:num w:numId="16" w16cid:durableId="1552619600">
    <w:abstractNumId w:val="15"/>
  </w:num>
  <w:num w:numId="17" w16cid:durableId="712388902">
    <w:abstractNumId w:val="13"/>
  </w:num>
  <w:num w:numId="18" w16cid:durableId="1176647471">
    <w:abstractNumId w:val="14"/>
  </w:num>
  <w:num w:numId="19" w16cid:durableId="1757437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5A"/>
    <w:rsid w:val="000101D2"/>
    <w:rsid w:val="000170F6"/>
    <w:rsid w:val="000612B6"/>
    <w:rsid w:val="000761F7"/>
    <w:rsid w:val="000A276A"/>
    <w:rsid w:val="000CC366"/>
    <w:rsid w:val="00135060"/>
    <w:rsid w:val="00186FB7"/>
    <w:rsid w:val="00192799"/>
    <w:rsid w:val="001973F5"/>
    <w:rsid w:val="001C0F18"/>
    <w:rsid w:val="001C1A5A"/>
    <w:rsid w:val="001E16BC"/>
    <w:rsid w:val="00220E6D"/>
    <w:rsid w:val="002400C9"/>
    <w:rsid w:val="00240AB9"/>
    <w:rsid w:val="002514AB"/>
    <w:rsid w:val="00295000"/>
    <w:rsid w:val="002B3563"/>
    <w:rsid w:val="002B5541"/>
    <w:rsid w:val="003518AE"/>
    <w:rsid w:val="003D5B2C"/>
    <w:rsid w:val="003D6EB1"/>
    <w:rsid w:val="003E6CBE"/>
    <w:rsid w:val="003F7D94"/>
    <w:rsid w:val="0040025F"/>
    <w:rsid w:val="004831EE"/>
    <w:rsid w:val="004927B0"/>
    <w:rsid w:val="00496034"/>
    <w:rsid w:val="004A1026"/>
    <w:rsid w:val="004B4C13"/>
    <w:rsid w:val="004E09F7"/>
    <w:rsid w:val="004F6941"/>
    <w:rsid w:val="00502582"/>
    <w:rsid w:val="00503BAD"/>
    <w:rsid w:val="005221AA"/>
    <w:rsid w:val="00527BA8"/>
    <w:rsid w:val="00535192"/>
    <w:rsid w:val="00555494"/>
    <w:rsid w:val="00595A31"/>
    <w:rsid w:val="00597D1E"/>
    <w:rsid w:val="005A4501"/>
    <w:rsid w:val="005F105E"/>
    <w:rsid w:val="0063128E"/>
    <w:rsid w:val="0069477A"/>
    <w:rsid w:val="006C36A3"/>
    <w:rsid w:val="006E45AF"/>
    <w:rsid w:val="006F117F"/>
    <w:rsid w:val="00745CAA"/>
    <w:rsid w:val="00765DAF"/>
    <w:rsid w:val="007B6BA1"/>
    <w:rsid w:val="007C1B66"/>
    <w:rsid w:val="0081138C"/>
    <w:rsid w:val="00822CA6"/>
    <w:rsid w:val="008E603D"/>
    <w:rsid w:val="008E71B9"/>
    <w:rsid w:val="00924FF9"/>
    <w:rsid w:val="0093594C"/>
    <w:rsid w:val="00970224"/>
    <w:rsid w:val="00987315"/>
    <w:rsid w:val="00990268"/>
    <w:rsid w:val="00994FAF"/>
    <w:rsid w:val="009C1034"/>
    <w:rsid w:val="009C1D58"/>
    <w:rsid w:val="009D21D7"/>
    <w:rsid w:val="009F500B"/>
    <w:rsid w:val="00A1230D"/>
    <w:rsid w:val="00A23070"/>
    <w:rsid w:val="00A4277A"/>
    <w:rsid w:val="00A55E90"/>
    <w:rsid w:val="00A9480A"/>
    <w:rsid w:val="00AE582B"/>
    <w:rsid w:val="00AF1667"/>
    <w:rsid w:val="00AF3C99"/>
    <w:rsid w:val="00B468CE"/>
    <w:rsid w:val="00B636DA"/>
    <w:rsid w:val="00B95CC7"/>
    <w:rsid w:val="00BA016B"/>
    <w:rsid w:val="00BD02AE"/>
    <w:rsid w:val="00C10717"/>
    <w:rsid w:val="00C748FE"/>
    <w:rsid w:val="00C86B7E"/>
    <w:rsid w:val="00CF2BD6"/>
    <w:rsid w:val="00D00A56"/>
    <w:rsid w:val="00D0763C"/>
    <w:rsid w:val="00D3533E"/>
    <w:rsid w:val="00D443E2"/>
    <w:rsid w:val="00DC395B"/>
    <w:rsid w:val="00DE2AC7"/>
    <w:rsid w:val="00DE3DBA"/>
    <w:rsid w:val="00E051DC"/>
    <w:rsid w:val="00E830AB"/>
    <w:rsid w:val="00E91003"/>
    <w:rsid w:val="00EF4D06"/>
    <w:rsid w:val="00EF567E"/>
    <w:rsid w:val="00EF7525"/>
    <w:rsid w:val="00F06721"/>
    <w:rsid w:val="00F12D0C"/>
    <w:rsid w:val="00F729AF"/>
    <w:rsid w:val="00F860DC"/>
    <w:rsid w:val="00F933DF"/>
    <w:rsid w:val="00FE686E"/>
    <w:rsid w:val="08BE7E47"/>
    <w:rsid w:val="0FB7E72F"/>
    <w:rsid w:val="135A7741"/>
    <w:rsid w:val="16E9666E"/>
    <w:rsid w:val="170FA880"/>
    <w:rsid w:val="1D60FFBA"/>
    <w:rsid w:val="1E2DADA9"/>
    <w:rsid w:val="21AB8546"/>
    <w:rsid w:val="21C808D0"/>
    <w:rsid w:val="2807A08B"/>
    <w:rsid w:val="30A2535D"/>
    <w:rsid w:val="326E0815"/>
    <w:rsid w:val="34E8DB92"/>
    <w:rsid w:val="377FC447"/>
    <w:rsid w:val="47C371F9"/>
    <w:rsid w:val="506B8507"/>
    <w:rsid w:val="50C6DEA2"/>
    <w:rsid w:val="5DE996AD"/>
    <w:rsid w:val="6106C113"/>
    <w:rsid w:val="651FDBC3"/>
    <w:rsid w:val="67FE4CF2"/>
    <w:rsid w:val="68C1E320"/>
    <w:rsid w:val="69BD82D1"/>
    <w:rsid w:val="6B5AD2E1"/>
    <w:rsid w:val="6CCF9355"/>
    <w:rsid w:val="706FF701"/>
    <w:rsid w:val="751DA4F6"/>
    <w:rsid w:val="7733C98F"/>
    <w:rsid w:val="7830003E"/>
    <w:rsid w:val="7878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2200"/>
  <w15:chartTrackingRefBased/>
  <w15:docId w15:val="{CE5414F4-70B0-441B-BF8D-EFBBF26B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DAF"/>
    <w:rPr>
      <w:rFonts w:ascii="Arial" w:hAnsi="Arial"/>
      <w:sz w:val="20"/>
    </w:rPr>
  </w:style>
  <w:style w:type="paragraph" w:styleId="Heading1">
    <w:name w:val="heading 1"/>
    <w:basedOn w:val="Normal"/>
    <w:next w:val="Normal"/>
    <w:link w:val="Heading1Char"/>
    <w:uiPriority w:val="1"/>
    <w:qFormat/>
    <w:rsid w:val="003D6EB1"/>
    <w:pPr>
      <w:keepNext/>
      <w:widowControl w:val="0"/>
      <w:tabs>
        <w:tab w:val="left" w:pos="3458"/>
      </w:tabs>
      <w:autoSpaceDE w:val="0"/>
      <w:autoSpaceDN w:val="0"/>
      <w:adjustRightInd w:val="0"/>
      <w:ind w:left="3458" w:hanging="3278"/>
      <w:jc w:val="center"/>
      <w:outlineLvl w:val="0"/>
    </w:pPr>
    <w:rPr>
      <w:rFonts w:ascii="Times New Roman" w:eastAsia="Times New Roman" w:hAnsi="Times New Roman" w:cs="Times New Roman"/>
      <w:b/>
      <w:bCs/>
      <w:sz w:val="32"/>
      <w:szCs w:val="32"/>
      <w:lang w:val="x-none" w:eastAsia="x-none"/>
    </w:rPr>
  </w:style>
  <w:style w:type="paragraph" w:styleId="Heading2">
    <w:name w:val="heading 2"/>
    <w:basedOn w:val="Normal"/>
    <w:next w:val="Normal"/>
    <w:link w:val="Heading2Char"/>
    <w:autoRedefine/>
    <w:uiPriority w:val="9"/>
    <w:qFormat/>
    <w:rsid w:val="003D6EB1"/>
    <w:pPr>
      <w:keepNext/>
      <w:widowControl w:val="0"/>
      <w:tabs>
        <w:tab w:val="left" w:pos="204"/>
      </w:tabs>
      <w:autoSpaceDE w:val="0"/>
      <w:autoSpaceDN w:val="0"/>
      <w:adjustRightInd w:val="0"/>
      <w:spacing w:after="120"/>
      <w:outlineLvl w:val="1"/>
    </w:pPr>
    <w:rPr>
      <w:rFonts w:eastAsia="Times New Roman" w:cs="Times New Roman"/>
      <w:b/>
      <w:bCs/>
      <w:sz w:val="22"/>
      <w:szCs w:val="22"/>
      <w:lang w:val="x-none" w:eastAsia="x-none"/>
    </w:rPr>
  </w:style>
  <w:style w:type="paragraph" w:styleId="Heading3">
    <w:name w:val="heading 3"/>
    <w:basedOn w:val="Normal"/>
    <w:next w:val="Normal"/>
    <w:link w:val="Heading3Char"/>
    <w:uiPriority w:val="9"/>
    <w:unhideWhenUsed/>
    <w:qFormat/>
    <w:rsid w:val="003D6EB1"/>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D6EB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D6EB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ASSP">
    <w:name w:val="Heading 1 ASSP"/>
    <w:basedOn w:val="DefaultParagraphFont"/>
    <w:qFormat/>
    <w:rsid w:val="0063128E"/>
    <w:rPr>
      <w:rFonts w:ascii="Arial" w:hAnsi="Arial"/>
      <w:b/>
      <w:bCs/>
      <w:color w:val="006400"/>
      <w:sz w:val="40"/>
    </w:rPr>
  </w:style>
  <w:style w:type="paragraph" w:customStyle="1" w:styleId="SubHeadASSP">
    <w:name w:val="Sub Head ASSP"/>
    <w:basedOn w:val="Normal"/>
    <w:qFormat/>
    <w:rsid w:val="00745CAA"/>
    <w:rPr>
      <w:sz w:val="32"/>
    </w:rPr>
  </w:style>
  <w:style w:type="character" w:styleId="Strong">
    <w:name w:val="Strong"/>
    <w:basedOn w:val="DefaultParagraphFont"/>
    <w:uiPriority w:val="22"/>
    <w:qFormat/>
    <w:rsid w:val="00DC395B"/>
    <w:rPr>
      <w:b/>
      <w:bCs/>
    </w:rPr>
  </w:style>
  <w:style w:type="paragraph" w:customStyle="1" w:styleId="ASSPArial">
    <w:name w:val="ASSP Arial"/>
    <w:basedOn w:val="Normal"/>
    <w:rsid w:val="00C748FE"/>
    <w:pPr>
      <w:tabs>
        <w:tab w:val="left" w:pos="3615"/>
      </w:tabs>
    </w:pPr>
    <w:rPr>
      <w:rFonts w:cs="Arial"/>
    </w:rPr>
  </w:style>
  <w:style w:type="character" w:customStyle="1" w:styleId="BodyCopy">
    <w:name w:val="Body Copy"/>
    <w:basedOn w:val="DefaultParagraphFont"/>
    <w:rsid w:val="009C1D58"/>
    <w:rPr>
      <w:rFonts w:ascii="Arial" w:hAnsi="Arial"/>
      <w:sz w:val="20"/>
    </w:rPr>
  </w:style>
  <w:style w:type="paragraph" w:styleId="Quote">
    <w:name w:val="Quote"/>
    <w:aliases w:val="Quote ASSP"/>
    <w:basedOn w:val="Normal"/>
    <w:next w:val="Normal"/>
    <w:link w:val="QuoteChar"/>
    <w:uiPriority w:val="29"/>
    <w:rsid w:val="00F06721"/>
    <w:pPr>
      <w:spacing w:before="200" w:after="160"/>
      <w:ind w:left="864" w:right="864"/>
      <w:jc w:val="center"/>
    </w:pPr>
    <w:rPr>
      <w:i/>
      <w:iCs/>
    </w:rPr>
  </w:style>
  <w:style w:type="character" w:customStyle="1" w:styleId="QuoteChar">
    <w:name w:val="Quote Char"/>
    <w:aliases w:val="Quote ASSP Char"/>
    <w:basedOn w:val="DefaultParagraphFont"/>
    <w:link w:val="Quote"/>
    <w:uiPriority w:val="29"/>
    <w:rsid w:val="00F06721"/>
    <w:rPr>
      <w:rFonts w:ascii="Arial" w:hAnsi="Arial"/>
      <w:i/>
      <w:iCs/>
      <w:sz w:val="20"/>
    </w:rPr>
  </w:style>
  <w:style w:type="paragraph" w:styleId="ListParagraph">
    <w:name w:val="List Paragraph"/>
    <w:basedOn w:val="Normal"/>
    <w:link w:val="ListParagraphChar"/>
    <w:uiPriority w:val="34"/>
    <w:qFormat/>
    <w:rsid w:val="00D0763C"/>
    <w:pPr>
      <w:ind w:left="720"/>
      <w:contextualSpacing/>
    </w:pPr>
  </w:style>
  <w:style w:type="table" w:styleId="TableGrid">
    <w:name w:val="Table Grid"/>
    <w:basedOn w:val="TableNormal"/>
    <w:uiPriority w:val="39"/>
    <w:rsid w:val="00135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9D21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4-Accent6">
    <w:name w:val="List Table 4 Accent 6"/>
    <w:basedOn w:val="TableNormal"/>
    <w:uiPriority w:val="49"/>
    <w:rsid w:val="009D21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D00A5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502582"/>
    <w:pPr>
      <w:tabs>
        <w:tab w:val="center" w:pos="4680"/>
        <w:tab w:val="right" w:pos="9360"/>
      </w:tabs>
    </w:pPr>
  </w:style>
  <w:style w:type="character" w:customStyle="1" w:styleId="HeaderChar">
    <w:name w:val="Header Char"/>
    <w:basedOn w:val="DefaultParagraphFont"/>
    <w:link w:val="Header"/>
    <w:uiPriority w:val="99"/>
    <w:rsid w:val="00502582"/>
    <w:rPr>
      <w:rFonts w:ascii="Arial" w:hAnsi="Arial"/>
      <w:sz w:val="20"/>
    </w:rPr>
  </w:style>
  <w:style w:type="paragraph" w:styleId="Footer">
    <w:name w:val="footer"/>
    <w:basedOn w:val="Normal"/>
    <w:link w:val="FooterChar"/>
    <w:uiPriority w:val="99"/>
    <w:unhideWhenUsed/>
    <w:rsid w:val="00502582"/>
    <w:pPr>
      <w:tabs>
        <w:tab w:val="center" w:pos="4680"/>
        <w:tab w:val="right" w:pos="9360"/>
      </w:tabs>
    </w:pPr>
  </w:style>
  <w:style w:type="character" w:customStyle="1" w:styleId="FooterChar">
    <w:name w:val="Footer Char"/>
    <w:basedOn w:val="DefaultParagraphFont"/>
    <w:link w:val="Footer"/>
    <w:uiPriority w:val="99"/>
    <w:rsid w:val="00502582"/>
    <w:rPr>
      <w:rFonts w:ascii="Arial" w:hAnsi="Arial"/>
      <w:sz w:val="20"/>
    </w:rPr>
  </w:style>
  <w:style w:type="paragraph" w:customStyle="1" w:styleId="ListASSP">
    <w:name w:val="List ASSP"/>
    <w:basedOn w:val="ListParagraph"/>
    <w:link w:val="ListASSPChar"/>
    <w:qFormat/>
    <w:rsid w:val="008E71B9"/>
    <w:pPr>
      <w:numPr>
        <w:numId w:val="11"/>
      </w:numPr>
      <w:spacing w:line="360" w:lineRule="auto"/>
    </w:pPr>
  </w:style>
  <w:style w:type="paragraph" w:customStyle="1" w:styleId="NumberedListASSP">
    <w:name w:val="Numbered List ASSP"/>
    <w:basedOn w:val="ListParagraph"/>
    <w:link w:val="NumberedListASSPChar"/>
    <w:qFormat/>
    <w:rsid w:val="008E71B9"/>
    <w:pPr>
      <w:numPr>
        <w:numId w:val="12"/>
      </w:numPr>
      <w:spacing w:line="360" w:lineRule="auto"/>
    </w:pPr>
  </w:style>
  <w:style w:type="character" w:customStyle="1" w:styleId="ListParagraphChar">
    <w:name w:val="List Paragraph Char"/>
    <w:basedOn w:val="DefaultParagraphFont"/>
    <w:link w:val="ListParagraph"/>
    <w:uiPriority w:val="34"/>
    <w:rsid w:val="008E71B9"/>
    <w:rPr>
      <w:rFonts w:ascii="Arial" w:hAnsi="Arial"/>
      <w:sz w:val="20"/>
    </w:rPr>
  </w:style>
  <w:style w:type="character" w:customStyle="1" w:styleId="ListASSPChar">
    <w:name w:val="List ASSP Char"/>
    <w:basedOn w:val="ListParagraphChar"/>
    <w:link w:val="ListASSP"/>
    <w:rsid w:val="008E71B9"/>
    <w:rPr>
      <w:rFonts w:ascii="Arial" w:hAnsi="Arial"/>
      <w:sz w:val="20"/>
    </w:rPr>
  </w:style>
  <w:style w:type="character" w:customStyle="1" w:styleId="NumberedListASSPChar">
    <w:name w:val="Numbered List ASSP Char"/>
    <w:basedOn w:val="ListParagraphChar"/>
    <w:link w:val="NumberedListASSP"/>
    <w:rsid w:val="008E71B9"/>
    <w:rPr>
      <w:rFonts w:ascii="Arial" w:hAnsi="Arial"/>
      <w:sz w:val="20"/>
    </w:rPr>
  </w:style>
  <w:style w:type="table" w:styleId="GridTable4-Accent2">
    <w:name w:val="Grid Table 4 Accent 2"/>
    <w:basedOn w:val="TableNormal"/>
    <w:uiPriority w:val="49"/>
    <w:rsid w:val="00EF567E"/>
    <w:tblPr>
      <w:tblStyleRowBandSize w:val="1"/>
      <w:tblStyleColBandSize w:val="1"/>
      <w:tblBorders>
        <w:top w:val="single" w:sz="4" w:space="0" w:color="B87998" w:themeColor="accent2" w:themeTint="99"/>
        <w:left w:val="single" w:sz="4" w:space="0" w:color="B87998" w:themeColor="accent2" w:themeTint="99"/>
        <w:bottom w:val="single" w:sz="4" w:space="0" w:color="B87998" w:themeColor="accent2" w:themeTint="99"/>
        <w:right w:val="single" w:sz="4" w:space="0" w:color="B87998" w:themeColor="accent2" w:themeTint="99"/>
        <w:insideH w:val="single" w:sz="4" w:space="0" w:color="B87998" w:themeColor="accent2" w:themeTint="99"/>
        <w:insideV w:val="single" w:sz="4" w:space="0" w:color="B87998" w:themeColor="accent2" w:themeTint="99"/>
      </w:tblBorders>
    </w:tblPr>
    <w:tblStylePr w:type="firstRow">
      <w:rPr>
        <w:b/>
        <w:bCs/>
        <w:color w:val="FFFFFF" w:themeColor="background1"/>
      </w:rPr>
      <w:tblPr/>
      <w:tcPr>
        <w:tcBorders>
          <w:top w:val="single" w:sz="4" w:space="0" w:color="6F3B55" w:themeColor="accent2"/>
          <w:left w:val="single" w:sz="4" w:space="0" w:color="6F3B55" w:themeColor="accent2"/>
          <w:bottom w:val="single" w:sz="4" w:space="0" w:color="6F3B55" w:themeColor="accent2"/>
          <w:right w:val="single" w:sz="4" w:space="0" w:color="6F3B55" w:themeColor="accent2"/>
          <w:insideH w:val="nil"/>
          <w:insideV w:val="nil"/>
        </w:tcBorders>
        <w:shd w:val="clear" w:color="auto" w:fill="6F3B55" w:themeFill="accent2"/>
      </w:tcPr>
    </w:tblStylePr>
    <w:tblStylePr w:type="lastRow">
      <w:rPr>
        <w:b/>
        <w:bCs/>
      </w:rPr>
      <w:tblPr/>
      <w:tcPr>
        <w:tcBorders>
          <w:top w:val="double" w:sz="4" w:space="0" w:color="6F3B55" w:themeColor="accent2"/>
        </w:tcBorders>
      </w:tcPr>
    </w:tblStylePr>
    <w:tblStylePr w:type="firstCol">
      <w:rPr>
        <w:b/>
        <w:bCs/>
      </w:rPr>
    </w:tblStylePr>
    <w:tblStylePr w:type="lastCol">
      <w:rPr>
        <w:b/>
        <w:bCs/>
      </w:rPr>
    </w:tblStylePr>
    <w:tblStylePr w:type="band1Vert">
      <w:tblPr/>
      <w:tcPr>
        <w:shd w:val="clear" w:color="auto" w:fill="E7D2DC" w:themeFill="accent2" w:themeFillTint="33"/>
      </w:tcPr>
    </w:tblStylePr>
    <w:tblStylePr w:type="band1Horz">
      <w:tblPr/>
      <w:tcPr>
        <w:shd w:val="clear" w:color="auto" w:fill="E7D2DC" w:themeFill="accent2" w:themeFillTint="33"/>
      </w:tcPr>
    </w:tblStylePr>
  </w:style>
  <w:style w:type="table" w:styleId="GridTable1Light-Accent2">
    <w:name w:val="Grid Table 1 Light Accent 2"/>
    <w:basedOn w:val="TableNormal"/>
    <w:uiPriority w:val="46"/>
    <w:rsid w:val="00EF567E"/>
    <w:tblPr>
      <w:tblStyleRowBandSize w:val="1"/>
      <w:tblStyleColBandSize w:val="1"/>
      <w:tblBorders>
        <w:top w:val="single" w:sz="4" w:space="0" w:color="CFA6BA" w:themeColor="accent2" w:themeTint="66"/>
        <w:left w:val="single" w:sz="4" w:space="0" w:color="CFA6BA" w:themeColor="accent2" w:themeTint="66"/>
        <w:bottom w:val="single" w:sz="4" w:space="0" w:color="CFA6BA" w:themeColor="accent2" w:themeTint="66"/>
        <w:right w:val="single" w:sz="4" w:space="0" w:color="CFA6BA" w:themeColor="accent2" w:themeTint="66"/>
        <w:insideH w:val="single" w:sz="4" w:space="0" w:color="CFA6BA" w:themeColor="accent2" w:themeTint="66"/>
        <w:insideV w:val="single" w:sz="4" w:space="0" w:color="CFA6BA" w:themeColor="accent2" w:themeTint="66"/>
      </w:tblBorders>
    </w:tblPr>
    <w:tblStylePr w:type="firstRow">
      <w:rPr>
        <w:b/>
        <w:bCs/>
      </w:rPr>
      <w:tblPr/>
      <w:tcPr>
        <w:tcBorders>
          <w:bottom w:val="single" w:sz="12" w:space="0" w:color="B87998" w:themeColor="accent2" w:themeTint="99"/>
        </w:tcBorders>
      </w:tcPr>
    </w:tblStylePr>
    <w:tblStylePr w:type="lastRow">
      <w:rPr>
        <w:b/>
        <w:bCs/>
      </w:rPr>
      <w:tblPr/>
      <w:tcPr>
        <w:tcBorders>
          <w:top w:val="double" w:sz="2" w:space="0" w:color="B87998"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F567E"/>
    <w:tblPr>
      <w:tblStyleRowBandSize w:val="1"/>
      <w:tblStyleColBandSize w:val="1"/>
      <w:tblBorders>
        <w:top w:val="single" w:sz="2" w:space="0" w:color="B87998" w:themeColor="accent2" w:themeTint="99"/>
        <w:bottom w:val="single" w:sz="2" w:space="0" w:color="B87998" w:themeColor="accent2" w:themeTint="99"/>
        <w:insideH w:val="single" w:sz="2" w:space="0" w:color="B87998" w:themeColor="accent2" w:themeTint="99"/>
        <w:insideV w:val="single" w:sz="2" w:space="0" w:color="B87998" w:themeColor="accent2" w:themeTint="99"/>
      </w:tblBorders>
    </w:tblPr>
    <w:tblStylePr w:type="firstRow">
      <w:rPr>
        <w:b/>
        <w:bCs/>
      </w:rPr>
      <w:tblPr/>
      <w:tcPr>
        <w:tcBorders>
          <w:top w:val="nil"/>
          <w:bottom w:val="single" w:sz="12" w:space="0" w:color="B87998" w:themeColor="accent2" w:themeTint="99"/>
          <w:insideH w:val="nil"/>
          <w:insideV w:val="nil"/>
        </w:tcBorders>
        <w:shd w:val="clear" w:color="auto" w:fill="FFFFFF" w:themeFill="background1"/>
      </w:tcPr>
    </w:tblStylePr>
    <w:tblStylePr w:type="lastRow">
      <w:rPr>
        <w:b/>
        <w:bCs/>
      </w:rPr>
      <w:tblPr/>
      <w:tcPr>
        <w:tcBorders>
          <w:top w:val="double" w:sz="2" w:space="0" w:color="B8799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2DC" w:themeFill="accent2" w:themeFillTint="33"/>
      </w:tcPr>
    </w:tblStylePr>
    <w:tblStylePr w:type="band1Horz">
      <w:tblPr/>
      <w:tcPr>
        <w:shd w:val="clear" w:color="auto" w:fill="E7D2DC" w:themeFill="accent2" w:themeFillTint="33"/>
      </w:tcPr>
    </w:tblStylePr>
  </w:style>
  <w:style w:type="paragraph" w:styleId="NoSpacing">
    <w:name w:val="No Spacing"/>
    <w:uiPriority w:val="1"/>
    <w:qFormat/>
    <w:rsid w:val="00BD02AE"/>
    <w:rPr>
      <w:sz w:val="22"/>
      <w:szCs w:val="22"/>
    </w:rPr>
  </w:style>
  <w:style w:type="character" w:customStyle="1" w:styleId="Heading1Char">
    <w:name w:val="Heading 1 Char"/>
    <w:basedOn w:val="DefaultParagraphFont"/>
    <w:link w:val="Heading1"/>
    <w:uiPriority w:val="1"/>
    <w:rsid w:val="003D6EB1"/>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9"/>
    <w:rsid w:val="003D6EB1"/>
    <w:rPr>
      <w:rFonts w:ascii="Arial" w:eastAsia="Times New Roman" w:hAnsi="Arial" w:cs="Times New Roman"/>
      <w:b/>
      <w:bCs/>
      <w:sz w:val="22"/>
      <w:szCs w:val="22"/>
      <w:lang w:val="x-none" w:eastAsia="x-none"/>
    </w:rPr>
  </w:style>
  <w:style w:type="character" w:customStyle="1" w:styleId="Heading3Char">
    <w:name w:val="Heading 3 Char"/>
    <w:basedOn w:val="DefaultParagraphFont"/>
    <w:link w:val="Heading3"/>
    <w:uiPriority w:val="9"/>
    <w:rsid w:val="003D6EB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D6EB1"/>
    <w:rPr>
      <w:rFonts w:asciiTheme="majorHAnsi" w:eastAsiaTheme="majorEastAsia" w:hAnsiTheme="majorHAnsi" w:cstheme="majorBidi"/>
      <w:i/>
      <w:iCs/>
      <w:color w:val="2F5496" w:themeColor="accent1" w:themeShade="BF"/>
      <w:sz w:val="20"/>
    </w:rPr>
  </w:style>
  <w:style w:type="character" w:customStyle="1" w:styleId="Heading6Char">
    <w:name w:val="Heading 6 Char"/>
    <w:basedOn w:val="DefaultParagraphFont"/>
    <w:link w:val="Heading6"/>
    <w:uiPriority w:val="9"/>
    <w:semiHidden/>
    <w:rsid w:val="003D6EB1"/>
    <w:rPr>
      <w:rFonts w:asciiTheme="majorHAnsi" w:eastAsiaTheme="majorEastAsia" w:hAnsiTheme="majorHAnsi" w:cstheme="majorBidi"/>
      <w:color w:val="1F3763" w:themeColor="accent1" w:themeShade="7F"/>
      <w:sz w:val="20"/>
    </w:rPr>
  </w:style>
  <w:style w:type="character" w:styleId="Hyperlink">
    <w:name w:val="Hyperlink"/>
    <w:uiPriority w:val="99"/>
    <w:rsid w:val="003D6EB1"/>
    <w:rPr>
      <w:color w:val="0000FF"/>
      <w:u w:val="single"/>
    </w:rPr>
  </w:style>
  <w:style w:type="paragraph" w:styleId="TOCHeading">
    <w:name w:val="TOC Heading"/>
    <w:basedOn w:val="Heading1"/>
    <w:next w:val="Normal"/>
    <w:qFormat/>
    <w:rsid w:val="003D6EB1"/>
    <w:pPr>
      <w:keepLines/>
      <w:widowControl/>
      <w:tabs>
        <w:tab w:val="clear" w:pos="3458"/>
      </w:tabs>
      <w:autoSpaceDE/>
      <w:autoSpaceDN/>
      <w:adjustRightInd/>
      <w:spacing w:before="480" w:line="276" w:lineRule="auto"/>
      <w:ind w:left="0" w:firstLine="0"/>
      <w:jc w:val="left"/>
      <w:outlineLvl w:val="9"/>
    </w:pPr>
    <w:rPr>
      <w:rFonts w:ascii="Cambria" w:hAnsi="Cambria"/>
      <w:color w:val="365F91"/>
      <w:sz w:val="28"/>
      <w:szCs w:val="28"/>
    </w:rPr>
  </w:style>
  <w:style w:type="paragraph" w:styleId="TOC1">
    <w:name w:val="toc 1"/>
    <w:basedOn w:val="Normal"/>
    <w:next w:val="Normal"/>
    <w:autoRedefine/>
    <w:uiPriority w:val="39"/>
    <w:unhideWhenUsed/>
    <w:rsid w:val="003D6EB1"/>
    <w:pPr>
      <w:spacing w:after="100"/>
    </w:pPr>
    <w:rPr>
      <w:rFonts w:eastAsia="Times New Roman" w:cs="Times New Roman"/>
      <w:sz w:val="22"/>
    </w:rPr>
  </w:style>
  <w:style w:type="paragraph" w:styleId="TOC2">
    <w:name w:val="toc 2"/>
    <w:basedOn w:val="Normal"/>
    <w:next w:val="Normal"/>
    <w:autoRedefine/>
    <w:uiPriority w:val="39"/>
    <w:unhideWhenUsed/>
    <w:rsid w:val="003D6EB1"/>
    <w:pPr>
      <w:spacing w:after="100"/>
      <w:ind w:left="240"/>
    </w:pPr>
    <w:rPr>
      <w:rFonts w:eastAsia="Times New Roman" w:cs="Times New Roman"/>
      <w:sz w:val="22"/>
    </w:rPr>
  </w:style>
  <w:style w:type="character" w:styleId="UnresolvedMention">
    <w:name w:val="Unresolved Mention"/>
    <w:basedOn w:val="DefaultParagraphFont"/>
    <w:uiPriority w:val="99"/>
    <w:semiHidden/>
    <w:unhideWhenUsed/>
    <w:rsid w:val="003D6EB1"/>
    <w:rPr>
      <w:color w:val="605E5C"/>
      <w:shd w:val="clear" w:color="auto" w:fill="E1DFDD"/>
    </w:rPr>
  </w:style>
  <w:style w:type="paragraph" w:styleId="BalloonText">
    <w:name w:val="Balloon Text"/>
    <w:basedOn w:val="Normal"/>
    <w:link w:val="BalloonTextChar"/>
    <w:uiPriority w:val="99"/>
    <w:semiHidden/>
    <w:unhideWhenUsed/>
    <w:rsid w:val="003D6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EB1"/>
    <w:rPr>
      <w:rFonts w:ascii="Segoe UI" w:hAnsi="Segoe UI" w:cs="Segoe UI"/>
      <w:sz w:val="18"/>
      <w:szCs w:val="18"/>
    </w:rPr>
  </w:style>
  <w:style w:type="character" w:styleId="CommentReference">
    <w:name w:val="annotation reference"/>
    <w:basedOn w:val="DefaultParagraphFont"/>
    <w:uiPriority w:val="99"/>
    <w:semiHidden/>
    <w:unhideWhenUsed/>
    <w:qFormat/>
    <w:rsid w:val="003D6EB1"/>
    <w:rPr>
      <w:sz w:val="16"/>
      <w:szCs w:val="16"/>
    </w:rPr>
  </w:style>
  <w:style w:type="paragraph" w:styleId="CommentText">
    <w:name w:val="annotation text"/>
    <w:basedOn w:val="Normal"/>
    <w:link w:val="CommentTextChar"/>
    <w:uiPriority w:val="99"/>
    <w:semiHidden/>
    <w:unhideWhenUsed/>
    <w:rsid w:val="003D6EB1"/>
    <w:rPr>
      <w:szCs w:val="20"/>
    </w:rPr>
  </w:style>
  <w:style w:type="character" w:customStyle="1" w:styleId="CommentTextChar">
    <w:name w:val="Comment Text Char"/>
    <w:basedOn w:val="DefaultParagraphFont"/>
    <w:link w:val="CommentText"/>
    <w:uiPriority w:val="99"/>
    <w:semiHidden/>
    <w:rsid w:val="003D6E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6EB1"/>
    <w:rPr>
      <w:b/>
      <w:bCs/>
    </w:rPr>
  </w:style>
  <w:style w:type="character" w:customStyle="1" w:styleId="CommentSubjectChar">
    <w:name w:val="Comment Subject Char"/>
    <w:basedOn w:val="CommentTextChar"/>
    <w:link w:val="CommentSubject"/>
    <w:uiPriority w:val="99"/>
    <w:semiHidden/>
    <w:rsid w:val="003D6EB1"/>
    <w:rPr>
      <w:rFonts w:ascii="Arial" w:hAnsi="Arial"/>
      <w:b/>
      <w:bCs/>
      <w:sz w:val="20"/>
      <w:szCs w:val="20"/>
    </w:rPr>
  </w:style>
  <w:style w:type="paragraph" w:styleId="HTMLPreformatted">
    <w:name w:val="HTML Preformatted"/>
    <w:basedOn w:val="Normal"/>
    <w:link w:val="HTMLPreformattedChar"/>
    <w:uiPriority w:val="99"/>
    <w:unhideWhenUsed/>
    <w:rsid w:val="003D6EB1"/>
    <w:rPr>
      <w:rFonts w:ascii="Consolas" w:hAnsi="Consolas"/>
      <w:szCs w:val="20"/>
    </w:rPr>
  </w:style>
  <w:style w:type="character" w:customStyle="1" w:styleId="HTMLPreformattedChar">
    <w:name w:val="HTML Preformatted Char"/>
    <w:basedOn w:val="DefaultParagraphFont"/>
    <w:link w:val="HTMLPreformatted"/>
    <w:uiPriority w:val="99"/>
    <w:rsid w:val="003D6EB1"/>
    <w:rPr>
      <w:rFonts w:ascii="Consolas" w:hAnsi="Consolas"/>
      <w:sz w:val="20"/>
      <w:szCs w:val="20"/>
    </w:rPr>
  </w:style>
  <w:style w:type="character" w:customStyle="1" w:styleId="highlight">
    <w:name w:val="highlight"/>
    <w:basedOn w:val="DefaultParagraphFont"/>
    <w:rsid w:val="003D6EB1"/>
  </w:style>
  <w:style w:type="character" w:customStyle="1" w:styleId="markedcontent">
    <w:name w:val="markedcontent"/>
    <w:basedOn w:val="DefaultParagraphFont"/>
    <w:rsid w:val="00F860DC"/>
  </w:style>
  <w:style w:type="paragraph" w:styleId="PlainText">
    <w:name w:val="Plain Text"/>
    <w:basedOn w:val="Normal"/>
    <w:link w:val="PlainTextChar"/>
    <w:uiPriority w:val="99"/>
    <w:semiHidden/>
    <w:unhideWhenUsed/>
    <w:rsid w:val="00D3533E"/>
    <w:rPr>
      <w:rFonts w:ascii="Calibri" w:hAnsi="Calibri"/>
      <w:sz w:val="28"/>
      <w:szCs w:val="21"/>
    </w:rPr>
  </w:style>
  <w:style w:type="character" w:customStyle="1" w:styleId="PlainTextChar">
    <w:name w:val="Plain Text Char"/>
    <w:basedOn w:val="DefaultParagraphFont"/>
    <w:link w:val="PlainText"/>
    <w:uiPriority w:val="99"/>
    <w:semiHidden/>
    <w:rsid w:val="00D3533E"/>
    <w:rPr>
      <w:rFonts w:ascii="Calibri" w:hAnsi="Calibri"/>
      <w:sz w:val="28"/>
      <w:szCs w:val="21"/>
    </w:rPr>
  </w:style>
  <w:style w:type="character" w:customStyle="1" w:styleId="js-test-kr-name">
    <w:name w:val="js-test-kr-name"/>
    <w:basedOn w:val="DefaultParagraphFont"/>
    <w:rsid w:val="001E16BC"/>
  </w:style>
  <w:style w:type="character" w:customStyle="1" w:styleId="content">
    <w:name w:val="content"/>
    <w:basedOn w:val="DefaultParagraphFont"/>
    <w:rsid w:val="001E16BC"/>
  </w:style>
  <w:style w:type="paragraph" w:styleId="Revision">
    <w:name w:val="Revision"/>
    <w:hidden/>
    <w:uiPriority w:val="99"/>
    <w:semiHidden/>
    <w:rsid w:val="00295000"/>
    <w:rPr>
      <w:rFonts w:ascii="Arial" w:hAnsi="Arial"/>
      <w:sz w:val="20"/>
    </w:rPr>
  </w:style>
  <w:style w:type="character" w:styleId="FollowedHyperlink">
    <w:name w:val="FollowedHyperlink"/>
    <w:basedOn w:val="DefaultParagraphFont"/>
    <w:uiPriority w:val="99"/>
    <w:semiHidden/>
    <w:unhideWhenUsed/>
    <w:rsid w:val="00A948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9060">
      <w:bodyDiv w:val="1"/>
      <w:marLeft w:val="0"/>
      <w:marRight w:val="0"/>
      <w:marTop w:val="0"/>
      <w:marBottom w:val="0"/>
      <w:divBdr>
        <w:top w:val="none" w:sz="0" w:space="0" w:color="auto"/>
        <w:left w:val="none" w:sz="0" w:space="0" w:color="auto"/>
        <w:bottom w:val="none" w:sz="0" w:space="0" w:color="auto"/>
        <w:right w:val="none" w:sz="0" w:space="0" w:color="auto"/>
      </w:divBdr>
    </w:div>
    <w:div w:id="205945179">
      <w:bodyDiv w:val="1"/>
      <w:marLeft w:val="0"/>
      <w:marRight w:val="0"/>
      <w:marTop w:val="0"/>
      <w:marBottom w:val="0"/>
      <w:divBdr>
        <w:top w:val="none" w:sz="0" w:space="0" w:color="auto"/>
        <w:left w:val="none" w:sz="0" w:space="0" w:color="auto"/>
        <w:bottom w:val="none" w:sz="0" w:space="0" w:color="auto"/>
        <w:right w:val="none" w:sz="0" w:space="0" w:color="auto"/>
      </w:divBdr>
    </w:div>
    <w:div w:id="283193401">
      <w:bodyDiv w:val="1"/>
      <w:marLeft w:val="0"/>
      <w:marRight w:val="0"/>
      <w:marTop w:val="0"/>
      <w:marBottom w:val="0"/>
      <w:divBdr>
        <w:top w:val="none" w:sz="0" w:space="0" w:color="auto"/>
        <w:left w:val="none" w:sz="0" w:space="0" w:color="auto"/>
        <w:bottom w:val="none" w:sz="0" w:space="0" w:color="auto"/>
        <w:right w:val="none" w:sz="0" w:space="0" w:color="auto"/>
      </w:divBdr>
    </w:div>
    <w:div w:id="350037453">
      <w:bodyDiv w:val="1"/>
      <w:marLeft w:val="0"/>
      <w:marRight w:val="0"/>
      <w:marTop w:val="0"/>
      <w:marBottom w:val="0"/>
      <w:divBdr>
        <w:top w:val="none" w:sz="0" w:space="0" w:color="auto"/>
        <w:left w:val="none" w:sz="0" w:space="0" w:color="auto"/>
        <w:bottom w:val="none" w:sz="0" w:space="0" w:color="auto"/>
        <w:right w:val="none" w:sz="0" w:space="0" w:color="auto"/>
      </w:divBdr>
    </w:div>
    <w:div w:id="821505441">
      <w:bodyDiv w:val="1"/>
      <w:marLeft w:val="0"/>
      <w:marRight w:val="0"/>
      <w:marTop w:val="0"/>
      <w:marBottom w:val="0"/>
      <w:divBdr>
        <w:top w:val="none" w:sz="0" w:space="0" w:color="auto"/>
        <w:left w:val="none" w:sz="0" w:space="0" w:color="auto"/>
        <w:bottom w:val="none" w:sz="0" w:space="0" w:color="auto"/>
        <w:right w:val="none" w:sz="0" w:space="0" w:color="auto"/>
      </w:divBdr>
    </w:div>
    <w:div w:id="959188912">
      <w:bodyDiv w:val="1"/>
      <w:marLeft w:val="0"/>
      <w:marRight w:val="0"/>
      <w:marTop w:val="0"/>
      <w:marBottom w:val="0"/>
      <w:divBdr>
        <w:top w:val="none" w:sz="0" w:space="0" w:color="auto"/>
        <w:left w:val="none" w:sz="0" w:space="0" w:color="auto"/>
        <w:bottom w:val="none" w:sz="0" w:space="0" w:color="auto"/>
        <w:right w:val="none" w:sz="0" w:space="0" w:color="auto"/>
      </w:divBdr>
    </w:div>
    <w:div w:id="1109351163">
      <w:bodyDiv w:val="1"/>
      <w:marLeft w:val="0"/>
      <w:marRight w:val="0"/>
      <w:marTop w:val="0"/>
      <w:marBottom w:val="0"/>
      <w:divBdr>
        <w:top w:val="none" w:sz="0" w:space="0" w:color="auto"/>
        <w:left w:val="none" w:sz="0" w:space="0" w:color="auto"/>
        <w:bottom w:val="none" w:sz="0" w:space="0" w:color="auto"/>
        <w:right w:val="none" w:sz="0" w:space="0" w:color="auto"/>
      </w:divBdr>
    </w:div>
    <w:div w:id="1216157889">
      <w:bodyDiv w:val="1"/>
      <w:marLeft w:val="0"/>
      <w:marRight w:val="0"/>
      <w:marTop w:val="0"/>
      <w:marBottom w:val="0"/>
      <w:divBdr>
        <w:top w:val="none" w:sz="0" w:space="0" w:color="auto"/>
        <w:left w:val="none" w:sz="0" w:space="0" w:color="auto"/>
        <w:bottom w:val="none" w:sz="0" w:space="0" w:color="auto"/>
        <w:right w:val="none" w:sz="0" w:space="0" w:color="auto"/>
      </w:divBdr>
    </w:div>
    <w:div w:id="1307854088">
      <w:bodyDiv w:val="1"/>
      <w:marLeft w:val="0"/>
      <w:marRight w:val="0"/>
      <w:marTop w:val="0"/>
      <w:marBottom w:val="0"/>
      <w:divBdr>
        <w:top w:val="none" w:sz="0" w:space="0" w:color="auto"/>
        <w:left w:val="none" w:sz="0" w:space="0" w:color="auto"/>
        <w:bottom w:val="none" w:sz="0" w:space="0" w:color="auto"/>
        <w:right w:val="none" w:sz="0" w:space="0" w:color="auto"/>
      </w:divBdr>
    </w:div>
    <w:div w:id="1522426198">
      <w:bodyDiv w:val="1"/>
      <w:marLeft w:val="0"/>
      <w:marRight w:val="0"/>
      <w:marTop w:val="0"/>
      <w:marBottom w:val="0"/>
      <w:divBdr>
        <w:top w:val="none" w:sz="0" w:space="0" w:color="auto"/>
        <w:left w:val="none" w:sz="0" w:space="0" w:color="auto"/>
        <w:bottom w:val="none" w:sz="0" w:space="0" w:color="auto"/>
        <w:right w:val="none" w:sz="0" w:space="0" w:color="auto"/>
      </w:divBdr>
    </w:div>
    <w:div w:id="18518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ssp.org/s/product-details?id=a1BUJ000004hFoV2AU&amp;_ga=2.81052759.1160586265.1778538953-1747304988.177801532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assp.org/s/product-details?id=a1BUJ000006A6dN2AS&amp;_ga=2.43966693.1160586265.1778538953-1747304988.1778015324" TargetMode="External"/><Relationship Id="rId12" Type="http://schemas.openxmlformats.org/officeDocument/2006/relationships/hyperlink" Target="https://www.assp.org/about/core-principles-of-modern-occupational-ehs-pract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p.org/about/tackling-todays-safety-challeng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ssp.org/news-and-articles/assp-releases-white-paper-on-ai-and-the-evolving-role-of-ehs-professionals" TargetMode="External"/><Relationship Id="rId4" Type="http://schemas.openxmlformats.org/officeDocument/2006/relationships/webSettings" Target="webSettings.xml"/><Relationship Id="rId9" Type="http://schemas.openxmlformats.org/officeDocument/2006/relationships/hyperlink" Target="https://www.assp.org/standards-based-user-group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SP">
      <a:dk1>
        <a:sysClr val="windowText" lastClr="000000"/>
      </a:dk1>
      <a:lt1>
        <a:sysClr val="window" lastClr="FFFFFF"/>
      </a:lt1>
      <a:dk2>
        <a:srgbClr val="44546A"/>
      </a:dk2>
      <a:lt2>
        <a:srgbClr val="E7E6E6"/>
      </a:lt2>
      <a:accent1>
        <a:srgbClr val="4472C4"/>
      </a:accent1>
      <a:accent2>
        <a:srgbClr val="6F3B55"/>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998</Words>
  <Characters>5692</Characters>
  <Application>Microsoft Office Word</Application>
  <DocSecurity>4</DocSecurity>
  <Lines>47</Lines>
  <Paragraphs>13</Paragraphs>
  <ScaleCrop>false</ScaleCrop>
  <Company/>
  <LinksUpToDate>false</LinksUpToDate>
  <CharactersWithSpaces>6677</CharactersWithSpaces>
  <SharedDoc>false</SharedDoc>
  <HLinks>
    <vt:vector size="36" baseType="variant">
      <vt:variant>
        <vt:i4>3801197</vt:i4>
      </vt:variant>
      <vt:variant>
        <vt:i4>15</vt:i4>
      </vt:variant>
      <vt:variant>
        <vt:i4>0</vt:i4>
      </vt:variant>
      <vt:variant>
        <vt:i4>5</vt:i4>
      </vt:variant>
      <vt:variant>
        <vt:lpwstr>https://www.assp.org/about/core-principles-of-modern-occupational-ehs-practice</vt:lpwstr>
      </vt:variant>
      <vt:variant>
        <vt:lpwstr/>
      </vt:variant>
      <vt:variant>
        <vt:i4>4522049</vt:i4>
      </vt:variant>
      <vt:variant>
        <vt:i4>12</vt:i4>
      </vt:variant>
      <vt:variant>
        <vt:i4>0</vt:i4>
      </vt:variant>
      <vt:variant>
        <vt:i4>5</vt:i4>
      </vt:variant>
      <vt:variant>
        <vt:lpwstr>https://www.assp.org/about/tackling-todays-safety-challenges</vt:lpwstr>
      </vt:variant>
      <vt:variant>
        <vt:lpwstr/>
      </vt:variant>
      <vt:variant>
        <vt:i4>458838</vt:i4>
      </vt:variant>
      <vt:variant>
        <vt:i4>9</vt:i4>
      </vt:variant>
      <vt:variant>
        <vt:i4>0</vt:i4>
      </vt:variant>
      <vt:variant>
        <vt:i4>5</vt:i4>
      </vt:variant>
      <vt:variant>
        <vt:lpwstr>https://www.assp.org/news-and-articles/assp-releases-white-paper-on-ai-and-the-evolving-role-of-ehs-professionals</vt:lpwstr>
      </vt:variant>
      <vt:variant>
        <vt:lpwstr/>
      </vt:variant>
      <vt:variant>
        <vt:i4>524355</vt:i4>
      </vt:variant>
      <vt:variant>
        <vt:i4>6</vt:i4>
      </vt:variant>
      <vt:variant>
        <vt:i4>0</vt:i4>
      </vt:variant>
      <vt:variant>
        <vt:i4>5</vt:i4>
      </vt:variant>
      <vt:variant>
        <vt:lpwstr>https://www.assp.org/standards-based-user-groups</vt:lpwstr>
      </vt:variant>
      <vt:variant>
        <vt:lpwstr/>
      </vt:variant>
      <vt:variant>
        <vt:i4>4063247</vt:i4>
      </vt:variant>
      <vt:variant>
        <vt:i4>3</vt:i4>
      </vt:variant>
      <vt:variant>
        <vt:i4>0</vt:i4>
      </vt:variant>
      <vt:variant>
        <vt:i4>5</vt:i4>
      </vt:variant>
      <vt:variant>
        <vt:lpwstr>https://my.assp.org/s/product-details?id=a1BUJ000004hFoV2AU&amp;_ga=2.81052759.1160586265.1778538953-1747304988.1778015324</vt:lpwstr>
      </vt:variant>
      <vt:variant>
        <vt:lpwstr/>
      </vt:variant>
      <vt:variant>
        <vt:i4>8257542</vt:i4>
      </vt:variant>
      <vt:variant>
        <vt:i4>0</vt:i4>
      </vt:variant>
      <vt:variant>
        <vt:i4>0</vt:i4>
      </vt:variant>
      <vt:variant>
        <vt:i4>5</vt:i4>
      </vt:variant>
      <vt:variant>
        <vt:lpwstr>https://my.assp.org/s/product-details?id=a1BUJ000006A6dN2AS&amp;_ga=2.43966693.1160586265.1778538953-1747304988.1778015324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Conroy</dc:creator>
  <cp:keywords/>
  <dc:description/>
  <cp:lastModifiedBy>Mars Barhorst</cp:lastModifiedBy>
  <cp:revision>2</cp:revision>
  <dcterms:created xsi:type="dcterms:W3CDTF">2026-05-19T15:37:00Z</dcterms:created>
  <dcterms:modified xsi:type="dcterms:W3CDTF">2026-05-19T15:37:00Z</dcterms:modified>
</cp:coreProperties>
</file>